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C4E1C" w14:textId="77777777" w:rsidR="003C72D5" w:rsidRDefault="003C72D5" w:rsidP="003C72D5"/>
    <w:p w14:paraId="19FD397A" w14:textId="77777777" w:rsidR="003C72D5" w:rsidRDefault="003C72D5" w:rsidP="003C72D5"/>
    <w:p w14:paraId="2292C4BB" w14:textId="77777777" w:rsidR="003C72D5" w:rsidRDefault="003C72D5" w:rsidP="003C72D5"/>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44"/>
      </w:tblGrid>
      <w:tr w:rsidR="003C72D5" w:rsidRPr="003C72D5" w14:paraId="40E5FFF6" w14:textId="77777777" w:rsidTr="001B79FF">
        <w:tc>
          <w:tcPr>
            <w:tcW w:w="9344" w:type="dxa"/>
          </w:tcPr>
          <w:p w14:paraId="7391F161" w14:textId="77777777" w:rsidR="003C72D5" w:rsidRPr="003C72D5" w:rsidRDefault="003C72D5" w:rsidP="001B79FF">
            <w:pPr>
              <w:pStyle w:val="Titel"/>
              <w:rPr>
                <w:rFonts w:ascii="Arial" w:hAnsi="Arial" w:cs="Arial"/>
                <w:sz w:val="27"/>
                <w:szCs w:val="27"/>
              </w:rPr>
            </w:pPr>
            <w:bookmarkStart w:id="0" w:name="Dokumenttyp" w:colFirst="0" w:colLast="0"/>
            <w:r w:rsidRPr="003C72D5">
              <w:rPr>
                <w:rFonts w:ascii="Arial" w:hAnsi="Arial" w:cs="Arial"/>
                <w:sz w:val="27"/>
                <w:szCs w:val="27"/>
              </w:rPr>
              <w:t>Entwurf «Stadt-/Gemeinderatsbeschluss»</w:t>
            </w:r>
          </w:p>
        </w:tc>
      </w:tr>
      <w:bookmarkEnd w:id="0"/>
    </w:tbl>
    <w:p w14:paraId="52996598" w14:textId="77777777" w:rsidR="003C72D5" w:rsidRPr="003C72D5" w:rsidRDefault="003C72D5" w:rsidP="003C72D5">
      <w:pPr>
        <w:pStyle w:val="Titel"/>
        <w:rPr>
          <w:rFonts w:ascii="Arial" w:hAnsi="Arial" w:cs="Arial"/>
          <w:sz w:val="27"/>
          <w:szCs w:val="27"/>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44"/>
      </w:tblGrid>
      <w:tr w:rsidR="003C72D5" w:rsidRPr="003C72D5" w14:paraId="382F60DE" w14:textId="77777777" w:rsidTr="001B79FF">
        <w:tc>
          <w:tcPr>
            <w:tcW w:w="9344" w:type="dxa"/>
          </w:tcPr>
          <w:p w14:paraId="61DB6144" w14:textId="77777777" w:rsidR="003C72D5" w:rsidRPr="003C72D5" w:rsidRDefault="003C72D5" w:rsidP="001B79FF">
            <w:pPr>
              <w:pStyle w:val="Titel"/>
              <w:rPr>
                <w:rFonts w:ascii="Arial" w:hAnsi="Arial" w:cs="Arial"/>
                <w:sz w:val="27"/>
                <w:szCs w:val="27"/>
              </w:rPr>
            </w:pPr>
            <w:bookmarkStart w:id="1" w:name="CustomFieldStbHaupttitel" w:colFirst="0" w:colLast="0"/>
            <w:r w:rsidRPr="003C72D5">
              <w:rPr>
                <w:rFonts w:ascii="Arial" w:hAnsi="Arial" w:cs="Arial"/>
                <w:sz w:val="27"/>
                <w:szCs w:val="27"/>
              </w:rPr>
              <w:t>«Adresse Heizkessel». «Eigentümerschaft Heizkessel»</w:t>
            </w:r>
          </w:p>
        </w:tc>
      </w:tr>
      <w:bookmarkEnd w:id="1"/>
    </w:tbl>
    <w:p w14:paraId="0CA40576" w14:textId="77777777" w:rsidR="003C72D5" w:rsidRPr="00BF29BB" w:rsidRDefault="003C72D5" w:rsidP="003C72D5">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44"/>
      </w:tblGrid>
      <w:tr w:rsidR="003C72D5" w:rsidRPr="00BF29BB" w14:paraId="03F2FEE7" w14:textId="77777777" w:rsidTr="001B79FF">
        <w:tc>
          <w:tcPr>
            <w:tcW w:w="9344" w:type="dxa"/>
          </w:tcPr>
          <w:p w14:paraId="0B72270F" w14:textId="77777777" w:rsidR="003C72D5" w:rsidRPr="00BF29BB" w:rsidRDefault="003C72D5" w:rsidP="003C72D5">
            <w:pPr>
              <w:pStyle w:val="BetreffUntertitel"/>
              <w:ind w:left="170" w:hanging="170"/>
            </w:pPr>
            <w:bookmarkStart w:id="2" w:name="CustomFieldStbUntertitel" w:colFirst="0" w:colLast="0"/>
            <w:r w:rsidRPr="00BF29BB">
              <w:t>Sanierungspflichtiger Heizkessel</w:t>
            </w:r>
          </w:p>
          <w:p w14:paraId="35511DDA" w14:textId="77777777" w:rsidR="003C72D5" w:rsidRPr="00BF29BB" w:rsidRDefault="003C72D5" w:rsidP="003C72D5">
            <w:pPr>
              <w:pStyle w:val="BetreffUntertitel"/>
              <w:ind w:left="170" w:hanging="170"/>
            </w:pPr>
            <w:r w:rsidRPr="00BF29BB">
              <w:t>Sanierungsverfügung</w:t>
            </w:r>
          </w:p>
        </w:tc>
      </w:tr>
      <w:bookmarkEnd w:id="2"/>
    </w:tbl>
    <w:p w14:paraId="1C299B11" w14:textId="77777777" w:rsidR="003C72D5" w:rsidRPr="00BF29BB" w:rsidRDefault="003C72D5" w:rsidP="003C72D5"/>
    <w:sdt>
      <w:sdtPr>
        <w:alias w:val="Detailangaben"/>
        <w:tag w:val="Detailangaben"/>
        <w:id w:val="-1126924712"/>
        <w:placeholder>
          <w:docPart w:val="17E5A10FF27F4E95AD6F888C34B95C00"/>
        </w:placeholder>
        <w:dataBinding w:prefixMappings="xmlns:ns='http://schemas.officeatwork.com/CustomXMLPart'" w:xpath="/ns:officeatwork/ns:Detailangaben" w:storeItemID="{CA574664-57D9-4A84-A7EF-1EBE85C5107E}"/>
        <w:text w:multiLine="1"/>
      </w:sdtPr>
      <w:sdtEndPr/>
      <w:sdtContent>
        <w:p w14:paraId="032EA908" w14:textId="77777777" w:rsidR="003C72D5" w:rsidRPr="00BF29BB" w:rsidRDefault="003C72D5" w:rsidP="003C72D5">
          <w:r>
            <w:t>«Stadt-/Gemeinderat</w:t>
          </w:r>
          <w:r w:rsidRPr="00BF29BB">
            <w:t>ssitzung</w:t>
          </w:r>
          <w:r>
            <w:t>»</w:t>
          </w:r>
          <w:r w:rsidRPr="00BF29BB">
            <w:t xml:space="preserve"> vom </w:t>
          </w:r>
          <w:r>
            <w:t>«Datum»</w:t>
          </w:r>
          <w:r w:rsidRPr="00BF29BB">
            <w:br/>
          </w:r>
          <w:r w:rsidRPr="00BF29BB">
            <w:br/>
          </w:r>
        </w:p>
      </w:sdtContent>
    </w:sdt>
    <w:p w14:paraId="301740D2" w14:textId="77777777" w:rsidR="003C72D5" w:rsidRPr="00BF29BB" w:rsidRDefault="003C72D5" w:rsidP="003C72D5"/>
    <w:p w14:paraId="071E7284" w14:textId="77777777" w:rsidR="003C72D5" w:rsidRPr="00BF29BB" w:rsidRDefault="003C72D5" w:rsidP="003C72D5">
      <w:pPr>
        <w:rPr>
          <w:b/>
        </w:rPr>
      </w:pPr>
      <w:bookmarkStart w:id="3" w:name="Text"/>
      <w:r w:rsidRPr="00BF29BB">
        <w:rPr>
          <w:b/>
        </w:rPr>
        <w:t>Sachverhalt</w:t>
      </w:r>
    </w:p>
    <w:bookmarkEnd w:id="3"/>
    <w:p w14:paraId="361BDB3D" w14:textId="77777777" w:rsidR="003C72D5" w:rsidRPr="00C167D5" w:rsidRDefault="003C72D5" w:rsidP="003C72D5">
      <w:pPr>
        <w:pStyle w:val="AuflistungNummern"/>
        <w:ind w:left="357" w:hanging="357"/>
      </w:pPr>
      <w:r>
        <w:t>«Die Eigentümerschaft»</w:t>
      </w:r>
      <w:r w:rsidRPr="00C167D5">
        <w:t xml:space="preserve"> betreibt als Eigentümerin </w:t>
      </w:r>
      <w:r>
        <w:t xml:space="preserve">«an der Adresse» </w:t>
      </w:r>
      <w:r w:rsidRPr="00C167D5">
        <w:t xml:space="preserve">eine Gasfeuerung vom Typ </w:t>
      </w:r>
      <w:r>
        <w:t>«Typ Heizkessel»</w:t>
      </w:r>
      <w:r w:rsidRPr="00C167D5">
        <w:t xml:space="preserve">, Baujahr </w:t>
      </w:r>
      <w:r>
        <w:t>XXXX</w:t>
      </w:r>
      <w:r w:rsidRPr="00C167D5">
        <w:t xml:space="preserve">, mit einem atmosphärischen Brenner und einer Feuerungswärmeleistung von </w:t>
      </w:r>
      <w:r>
        <w:t>X</w:t>
      </w:r>
      <w:r w:rsidRPr="00C167D5">
        <w:t xml:space="preserve"> kW. Die Anlage fällt unter Anhang 3 Ziffer 6 der Luftreinhalte-Verordnung des Bundes vom 16.</w:t>
      </w:r>
      <w:r w:rsidRPr="00C167D5">
        <w:rPr>
          <w:rFonts w:ascii="Times New Roman" w:hAnsi="Times New Roman"/>
        </w:rPr>
        <w:t> </w:t>
      </w:r>
      <w:r w:rsidRPr="00C167D5">
        <w:rPr>
          <w:rFonts w:cs="Frutiger"/>
        </w:rPr>
        <w:t>Dezember 1985 (LRV</w:t>
      </w:r>
      <w:r>
        <w:rPr>
          <w:rFonts w:cs="Frutiger"/>
        </w:rPr>
        <w:t>; SR 814.318.142.1</w:t>
      </w:r>
      <w:r w:rsidRPr="00C167D5">
        <w:rPr>
          <w:rFonts w:cs="Frutiger"/>
        </w:rPr>
        <w:t>)</w:t>
      </w:r>
      <w:r w:rsidRPr="00C167D5">
        <w:t>.</w:t>
      </w:r>
    </w:p>
    <w:p w14:paraId="65B69038" w14:textId="77777777" w:rsidR="003C72D5" w:rsidRPr="00C167D5" w:rsidRDefault="003C72D5" w:rsidP="003C72D5">
      <w:pPr>
        <w:pStyle w:val="AuflistungNummern"/>
        <w:numPr>
          <w:ilvl w:val="0"/>
          <w:numId w:val="0"/>
        </w:numPr>
        <w:ind w:left="357"/>
      </w:pPr>
    </w:p>
    <w:p w14:paraId="27C7A51D" w14:textId="77777777" w:rsidR="003C72D5" w:rsidRPr="00C167D5" w:rsidRDefault="003C72D5" w:rsidP="003C72D5">
      <w:pPr>
        <w:pStyle w:val="AuflistungNummern"/>
        <w:ind w:left="357" w:hanging="357"/>
      </w:pPr>
      <w:r w:rsidRPr="00C167D5">
        <w:t xml:space="preserve">Gemäss Art. 13 LRV sind die Behörden verpflichtet, </w:t>
      </w:r>
      <w:r>
        <w:t xml:space="preserve">die Einhaltung der Emissionsbegrenzungen zu überwachen. Gemäss Absatz 3 haben sie bei </w:t>
      </w:r>
      <w:r w:rsidRPr="00C167D5">
        <w:t xml:space="preserve">Gasfeuerungsanlagen alle vier Jahre </w:t>
      </w:r>
      <w:r>
        <w:t>Emissionsmessungen oder -kontrollen durchzuführen oder durchführen</w:t>
      </w:r>
      <w:r w:rsidRPr="00C167D5">
        <w:t xml:space="preserve"> zu lassen. Die Messergebnisse, inklusive Messunsicherheit, dieser Kontrollen sind nachfolgend aufgeführt und den massgebliche</w:t>
      </w:r>
      <w:r>
        <w:t>n Emissionsgrenzwerten nach Anhang</w:t>
      </w:r>
      <w:r w:rsidRPr="00C167D5">
        <w:t xml:space="preserve"> 3 Ziff. 6 LRV gegenübergestellt. Messwerte über den zulässigen Emissionsgrenzwerten sind </w:t>
      </w:r>
      <w:r w:rsidRPr="00C167D5">
        <w:rPr>
          <w:i/>
        </w:rPr>
        <w:t>kursiv</w:t>
      </w:r>
      <w:r w:rsidRPr="00C167D5">
        <w:t xml:space="preserve"> hervorgehoben.</w:t>
      </w:r>
    </w:p>
    <w:p w14:paraId="31160B2C" w14:textId="77777777" w:rsidR="003C72D5" w:rsidRPr="00C167D5" w:rsidRDefault="003C72D5" w:rsidP="003C72D5">
      <w:pPr>
        <w:pStyle w:val="AuflistungNummern"/>
        <w:numPr>
          <w:ilvl w:val="0"/>
          <w:numId w:val="0"/>
        </w:numPr>
        <w:ind w:left="357" w:hanging="357"/>
      </w:pPr>
    </w:p>
    <w:tbl>
      <w:tblPr>
        <w:tblStyle w:val="Tabellenraster"/>
        <w:tblpPr w:leftFromText="141" w:rightFromText="141" w:vertAnchor="text" w:horzAnchor="page" w:tblpX="1842" w:tblpY="60"/>
        <w:tblW w:w="0" w:type="auto"/>
        <w:tblLook w:val="0000" w:firstRow="0" w:lastRow="0" w:firstColumn="0" w:lastColumn="0" w:noHBand="0" w:noVBand="0"/>
      </w:tblPr>
      <w:tblGrid>
        <w:gridCol w:w="1791"/>
        <w:gridCol w:w="1791"/>
        <w:gridCol w:w="1792"/>
        <w:gridCol w:w="1992"/>
      </w:tblGrid>
      <w:tr w:rsidR="003C72D5" w:rsidRPr="00C167D5" w14:paraId="230ECA1A" w14:textId="77777777" w:rsidTr="001B79FF">
        <w:trPr>
          <w:trHeight w:val="331"/>
        </w:trPr>
        <w:tc>
          <w:tcPr>
            <w:tcW w:w="1791" w:type="dxa"/>
          </w:tcPr>
          <w:p w14:paraId="35B77552" w14:textId="77777777" w:rsidR="003C72D5" w:rsidRPr="00C167D5" w:rsidRDefault="003C72D5" w:rsidP="001B79FF">
            <w:pPr>
              <w:pStyle w:val="Text"/>
              <w:rPr>
                <w:rFonts w:cs="Arial"/>
                <w:b/>
                <w:bCs/>
              </w:rPr>
            </w:pPr>
            <w:r>
              <w:rPr>
                <w:rFonts w:cs="Arial"/>
                <w:b/>
                <w:bCs/>
              </w:rPr>
              <w:t>Messd</w:t>
            </w:r>
            <w:r w:rsidRPr="00C167D5">
              <w:rPr>
                <w:rFonts w:cs="Arial"/>
                <w:b/>
                <w:bCs/>
              </w:rPr>
              <w:t>atum</w:t>
            </w:r>
          </w:p>
        </w:tc>
        <w:tc>
          <w:tcPr>
            <w:tcW w:w="1791" w:type="dxa"/>
          </w:tcPr>
          <w:p w14:paraId="5A1C9890" w14:textId="77777777" w:rsidR="003C72D5" w:rsidRPr="00C167D5" w:rsidRDefault="003C72D5" w:rsidP="001B79FF">
            <w:pPr>
              <w:pStyle w:val="Text"/>
              <w:rPr>
                <w:rFonts w:cs="Arial"/>
                <w:b/>
                <w:bCs/>
              </w:rPr>
            </w:pPr>
            <w:r w:rsidRPr="00C167D5">
              <w:rPr>
                <w:rFonts w:cs="Arial"/>
                <w:b/>
                <w:bCs/>
              </w:rPr>
              <w:t>CO [mg/m</w:t>
            </w:r>
            <w:r w:rsidRPr="00C167D5">
              <w:rPr>
                <w:rFonts w:cs="Arial"/>
                <w:b/>
                <w:bCs/>
                <w:vertAlign w:val="superscript"/>
              </w:rPr>
              <w:t>3</w:t>
            </w:r>
            <w:r w:rsidRPr="00C167D5">
              <w:rPr>
                <w:rFonts w:cs="Arial"/>
                <w:b/>
                <w:bCs/>
              </w:rPr>
              <w:t>]</w:t>
            </w:r>
          </w:p>
        </w:tc>
        <w:tc>
          <w:tcPr>
            <w:tcW w:w="1792" w:type="dxa"/>
          </w:tcPr>
          <w:p w14:paraId="1615BAFC" w14:textId="77777777" w:rsidR="003C72D5" w:rsidRPr="00C167D5" w:rsidRDefault="003C72D5" w:rsidP="001B79FF">
            <w:pPr>
              <w:pStyle w:val="Text"/>
              <w:rPr>
                <w:rFonts w:cs="Arial"/>
                <w:b/>
                <w:bCs/>
              </w:rPr>
            </w:pPr>
            <w:proofErr w:type="spellStart"/>
            <w:r w:rsidRPr="00C167D5">
              <w:rPr>
                <w:rFonts w:cs="Arial"/>
                <w:b/>
                <w:bCs/>
              </w:rPr>
              <w:t>NO</w:t>
            </w:r>
            <w:r>
              <w:rPr>
                <w:rFonts w:cs="Arial"/>
                <w:b/>
                <w:bCs/>
                <w:vertAlign w:val="subscript"/>
              </w:rPr>
              <w:t>x</w:t>
            </w:r>
            <w:proofErr w:type="spellEnd"/>
            <w:r w:rsidRPr="00C167D5">
              <w:rPr>
                <w:rFonts w:cs="Arial"/>
                <w:b/>
                <w:bCs/>
              </w:rPr>
              <w:t xml:space="preserve"> [mg/m</w:t>
            </w:r>
            <w:r w:rsidRPr="00C167D5">
              <w:rPr>
                <w:rFonts w:cs="Arial"/>
                <w:b/>
                <w:bCs/>
                <w:vertAlign w:val="superscript"/>
              </w:rPr>
              <w:t>3</w:t>
            </w:r>
            <w:r w:rsidRPr="00C167D5">
              <w:rPr>
                <w:rFonts w:cs="Arial"/>
                <w:b/>
                <w:bCs/>
              </w:rPr>
              <w:t>]</w:t>
            </w:r>
          </w:p>
        </w:tc>
        <w:tc>
          <w:tcPr>
            <w:tcW w:w="1992" w:type="dxa"/>
          </w:tcPr>
          <w:p w14:paraId="5AB313E3" w14:textId="77777777" w:rsidR="003C72D5" w:rsidRPr="00C167D5" w:rsidRDefault="003C72D5" w:rsidP="001B79FF">
            <w:pPr>
              <w:pStyle w:val="Text"/>
              <w:rPr>
                <w:rFonts w:cs="Arial"/>
                <w:b/>
                <w:bCs/>
              </w:rPr>
            </w:pPr>
            <w:r w:rsidRPr="00C167D5">
              <w:rPr>
                <w:rFonts w:cs="Arial"/>
                <w:b/>
                <w:bCs/>
              </w:rPr>
              <w:t>Abgasverlust [%]</w:t>
            </w:r>
          </w:p>
        </w:tc>
      </w:tr>
      <w:tr w:rsidR="003C72D5" w:rsidRPr="00C167D5" w14:paraId="2D82A03B" w14:textId="77777777" w:rsidTr="001B79FF">
        <w:trPr>
          <w:trHeight w:val="331"/>
        </w:trPr>
        <w:tc>
          <w:tcPr>
            <w:tcW w:w="1791" w:type="dxa"/>
          </w:tcPr>
          <w:p w14:paraId="096C0ABC" w14:textId="77777777" w:rsidR="003C72D5" w:rsidRPr="00C167D5" w:rsidRDefault="003C72D5" w:rsidP="001B79FF">
            <w:pPr>
              <w:pStyle w:val="Text"/>
              <w:jc w:val="right"/>
              <w:rPr>
                <w:rFonts w:cs="Arial"/>
              </w:rPr>
            </w:pPr>
            <w:r>
              <w:rPr>
                <w:rFonts w:cs="Arial"/>
              </w:rPr>
              <w:t>Datum</w:t>
            </w:r>
          </w:p>
        </w:tc>
        <w:tc>
          <w:tcPr>
            <w:tcW w:w="1791" w:type="dxa"/>
          </w:tcPr>
          <w:p w14:paraId="10E4861F" w14:textId="77777777" w:rsidR="003C72D5" w:rsidRPr="00C167D5" w:rsidRDefault="003C72D5" w:rsidP="001B79FF">
            <w:pPr>
              <w:pStyle w:val="Text"/>
              <w:tabs>
                <w:tab w:val="decimal" w:pos="528"/>
                <w:tab w:val="right" w:pos="1631"/>
              </w:tabs>
              <w:rPr>
                <w:rFonts w:cs="Arial"/>
              </w:rPr>
            </w:pPr>
            <w:r w:rsidRPr="00C167D5">
              <w:tab/>
            </w:r>
            <w:r w:rsidRPr="00C167D5">
              <w:rPr>
                <w:rFonts w:cs="Arial"/>
              </w:rPr>
              <w:t>0 ± 20</w:t>
            </w:r>
          </w:p>
        </w:tc>
        <w:tc>
          <w:tcPr>
            <w:tcW w:w="1792" w:type="dxa"/>
          </w:tcPr>
          <w:p w14:paraId="29FA131A" w14:textId="77777777" w:rsidR="003C72D5" w:rsidRPr="00C167D5" w:rsidRDefault="003C72D5" w:rsidP="001B79FF">
            <w:pPr>
              <w:pStyle w:val="Text"/>
              <w:tabs>
                <w:tab w:val="decimal" w:pos="586"/>
                <w:tab w:val="right" w:pos="1347"/>
                <w:tab w:val="right" w:pos="1631"/>
              </w:tabs>
              <w:rPr>
                <w:rFonts w:cs="Arial"/>
                <w:i/>
              </w:rPr>
            </w:pPr>
            <w:r w:rsidRPr="00C167D5">
              <w:rPr>
                <w:i/>
              </w:rPr>
              <w:tab/>
            </w:r>
            <w:r w:rsidRPr="00C167D5">
              <w:rPr>
                <w:rFonts w:cs="Arial"/>
                <w:i/>
              </w:rPr>
              <w:t>164 ± 20</w:t>
            </w:r>
          </w:p>
        </w:tc>
        <w:tc>
          <w:tcPr>
            <w:tcW w:w="1992" w:type="dxa"/>
          </w:tcPr>
          <w:p w14:paraId="79BB9CFD" w14:textId="77777777" w:rsidR="003C72D5" w:rsidRPr="00C167D5" w:rsidRDefault="003C72D5" w:rsidP="001B79FF">
            <w:pPr>
              <w:pStyle w:val="Text"/>
              <w:tabs>
                <w:tab w:val="decimal" w:pos="775"/>
                <w:tab w:val="right" w:pos="830"/>
                <w:tab w:val="right" w:pos="1130"/>
                <w:tab w:val="right" w:pos="1520"/>
              </w:tabs>
              <w:rPr>
                <w:rFonts w:cs="Arial"/>
                <w:iCs/>
              </w:rPr>
            </w:pPr>
            <w:r w:rsidRPr="00C167D5">
              <w:tab/>
            </w:r>
            <w:r w:rsidRPr="00C167D5">
              <w:rPr>
                <w:rFonts w:cs="Arial"/>
                <w:iCs/>
              </w:rPr>
              <w:t>4.8 ± 0.5</w:t>
            </w:r>
          </w:p>
        </w:tc>
      </w:tr>
      <w:tr w:rsidR="003C72D5" w:rsidRPr="00C167D5" w14:paraId="056330F7" w14:textId="77777777" w:rsidTr="001B79FF">
        <w:trPr>
          <w:trHeight w:val="331"/>
        </w:trPr>
        <w:tc>
          <w:tcPr>
            <w:tcW w:w="1791" w:type="dxa"/>
          </w:tcPr>
          <w:p w14:paraId="0749B6E7" w14:textId="77777777" w:rsidR="003C72D5" w:rsidRPr="00C167D5" w:rsidRDefault="003C72D5" w:rsidP="001B79FF">
            <w:pPr>
              <w:pStyle w:val="Text"/>
              <w:jc w:val="right"/>
              <w:rPr>
                <w:rFonts w:cs="Arial"/>
              </w:rPr>
            </w:pPr>
            <w:r>
              <w:rPr>
                <w:rFonts w:cs="Arial"/>
              </w:rPr>
              <w:t>Datum</w:t>
            </w:r>
          </w:p>
        </w:tc>
        <w:tc>
          <w:tcPr>
            <w:tcW w:w="1791" w:type="dxa"/>
          </w:tcPr>
          <w:p w14:paraId="31FA69A0" w14:textId="77777777" w:rsidR="003C72D5" w:rsidRPr="00C167D5" w:rsidRDefault="003C72D5" w:rsidP="001B79FF">
            <w:pPr>
              <w:pStyle w:val="Text"/>
              <w:tabs>
                <w:tab w:val="decimal" w:pos="528"/>
                <w:tab w:val="right" w:pos="1631"/>
              </w:tabs>
              <w:rPr>
                <w:rFonts w:cs="Arial"/>
              </w:rPr>
            </w:pPr>
            <w:r w:rsidRPr="00C167D5">
              <w:tab/>
            </w:r>
            <w:r w:rsidRPr="00C167D5">
              <w:rPr>
                <w:rFonts w:cs="Arial"/>
              </w:rPr>
              <w:t>7 ± 20</w:t>
            </w:r>
          </w:p>
        </w:tc>
        <w:tc>
          <w:tcPr>
            <w:tcW w:w="1792" w:type="dxa"/>
          </w:tcPr>
          <w:p w14:paraId="6EB2F152" w14:textId="77777777" w:rsidR="003C72D5" w:rsidRPr="00C167D5" w:rsidRDefault="003C72D5" w:rsidP="001B79FF">
            <w:pPr>
              <w:pStyle w:val="Text"/>
              <w:tabs>
                <w:tab w:val="decimal" w:pos="586"/>
                <w:tab w:val="right" w:pos="1347"/>
                <w:tab w:val="right" w:pos="1631"/>
              </w:tabs>
              <w:rPr>
                <w:rFonts w:cs="Arial"/>
                <w:i/>
              </w:rPr>
            </w:pPr>
            <w:r w:rsidRPr="00C167D5">
              <w:rPr>
                <w:i/>
              </w:rPr>
              <w:tab/>
              <w:t>158</w:t>
            </w:r>
            <w:r w:rsidRPr="00C167D5">
              <w:rPr>
                <w:rFonts w:cs="Arial"/>
                <w:i/>
              </w:rPr>
              <w:t xml:space="preserve"> ± 20</w:t>
            </w:r>
          </w:p>
        </w:tc>
        <w:tc>
          <w:tcPr>
            <w:tcW w:w="1992" w:type="dxa"/>
          </w:tcPr>
          <w:p w14:paraId="61E0BA98" w14:textId="77777777" w:rsidR="003C72D5" w:rsidRPr="00C167D5" w:rsidRDefault="003C72D5" w:rsidP="001B79FF">
            <w:pPr>
              <w:pStyle w:val="Text"/>
              <w:tabs>
                <w:tab w:val="decimal" w:pos="775"/>
                <w:tab w:val="right" w:pos="830"/>
                <w:tab w:val="right" w:pos="1130"/>
                <w:tab w:val="right" w:pos="1520"/>
              </w:tabs>
              <w:rPr>
                <w:rFonts w:cs="Arial"/>
              </w:rPr>
            </w:pPr>
            <w:r w:rsidRPr="00C167D5">
              <w:tab/>
            </w:r>
            <w:r w:rsidRPr="00C167D5">
              <w:rPr>
                <w:rFonts w:cs="Arial"/>
                <w:iCs/>
              </w:rPr>
              <w:t>5.5 ± 0.5</w:t>
            </w:r>
          </w:p>
        </w:tc>
      </w:tr>
      <w:tr w:rsidR="003C72D5" w:rsidRPr="00C167D5" w14:paraId="4BB3EC83" w14:textId="77777777" w:rsidTr="001B79FF">
        <w:trPr>
          <w:trHeight w:val="317"/>
        </w:trPr>
        <w:tc>
          <w:tcPr>
            <w:tcW w:w="1791" w:type="dxa"/>
          </w:tcPr>
          <w:p w14:paraId="495A1BBE" w14:textId="77777777" w:rsidR="003C72D5" w:rsidRPr="00C167D5" w:rsidRDefault="003C72D5" w:rsidP="001B79FF">
            <w:pPr>
              <w:pStyle w:val="Text"/>
              <w:jc w:val="right"/>
              <w:rPr>
                <w:rFonts w:cs="Arial"/>
              </w:rPr>
            </w:pPr>
            <w:r w:rsidRPr="00C167D5">
              <w:rPr>
                <w:rFonts w:cs="Arial"/>
                <w:b/>
                <w:bCs/>
              </w:rPr>
              <w:t>Grenzwert</w:t>
            </w:r>
          </w:p>
        </w:tc>
        <w:tc>
          <w:tcPr>
            <w:tcW w:w="1791" w:type="dxa"/>
          </w:tcPr>
          <w:p w14:paraId="20E721B7" w14:textId="77777777" w:rsidR="003C72D5" w:rsidRPr="00C167D5" w:rsidRDefault="003C72D5" w:rsidP="001B79FF">
            <w:pPr>
              <w:pStyle w:val="Text"/>
              <w:tabs>
                <w:tab w:val="decimal" w:pos="528"/>
                <w:tab w:val="right" w:pos="1631"/>
              </w:tabs>
            </w:pPr>
            <w:r w:rsidRPr="00C167D5">
              <w:tab/>
            </w:r>
            <w:r w:rsidRPr="00C167D5">
              <w:rPr>
                <w:rFonts w:cs="Arial"/>
                <w:b/>
                <w:bCs/>
              </w:rPr>
              <w:t>100</w:t>
            </w:r>
          </w:p>
        </w:tc>
        <w:tc>
          <w:tcPr>
            <w:tcW w:w="1792" w:type="dxa"/>
          </w:tcPr>
          <w:p w14:paraId="5E052D37" w14:textId="77777777" w:rsidR="003C72D5" w:rsidRPr="00C167D5" w:rsidRDefault="003C72D5" w:rsidP="001B79FF">
            <w:pPr>
              <w:pStyle w:val="Text"/>
              <w:tabs>
                <w:tab w:val="decimal" w:pos="586"/>
                <w:tab w:val="right" w:pos="1347"/>
                <w:tab w:val="right" w:pos="1631"/>
              </w:tabs>
              <w:rPr>
                <w:i/>
              </w:rPr>
            </w:pPr>
            <w:r w:rsidRPr="00C167D5">
              <w:tab/>
            </w:r>
            <w:r w:rsidRPr="00C167D5">
              <w:rPr>
                <w:rFonts w:cs="Arial"/>
                <w:b/>
                <w:bCs/>
              </w:rPr>
              <w:t>80</w:t>
            </w:r>
          </w:p>
        </w:tc>
        <w:tc>
          <w:tcPr>
            <w:tcW w:w="1992" w:type="dxa"/>
          </w:tcPr>
          <w:p w14:paraId="07A4789E" w14:textId="77777777" w:rsidR="003C72D5" w:rsidRPr="00C167D5" w:rsidRDefault="003C72D5" w:rsidP="001B79FF">
            <w:pPr>
              <w:pStyle w:val="Text"/>
              <w:tabs>
                <w:tab w:val="decimal" w:pos="775"/>
                <w:tab w:val="right" w:pos="830"/>
                <w:tab w:val="right" w:pos="1130"/>
                <w:tab w:val="right" w:pos="1520"/>
              </w:tabs>
            </w:pPr>
            <w:r w:rsidRPr="00C167D5">
              <w:tab/>
            </w:r>
            <w:r w:rsidRPr="00C167D5">
              <w:rPr>
                <w:rFonts w:cs="Arial"/>
                <w:b/>
                <w:bCs/>
              </w:rPr>
              <w:t>7.0</w:t>
            </w:r>
          </w:p>
        </w:tc>
      </w:tr>
    </w:tbl>
    <w:p w14:paraId="50853063" w14:textId="77777777" w:rsidR="003C72D5" w:rsidRPr="00C167D5" w:rsidRDefault="003C72D5" w:rsidP="003C72D5">
      <w:pPr>
        <w:pStyle w:val="AuflistungNummern"/>
        <w:numPr>
          <w:ilvl w:val="0"/>
          <w:numId w:val="0"/>
        </w:numPr>
        <w:ind w:left="357" w:hanging="357"/>
      </w:pPr>
    </w:p>
    <w:p w14:paraId="209E14CB" w14:textId="77777777" w:rsidR="003C72D5" w:rsidRPr="00C167D5" w:rsidRDefault="003C72D5" w:rsidP="003C72D5">
      <w:pPr>
        <w:pStyle w:val="AuflistungNummern"/>
        <w:numPr>
          <w:ilvl w:val="0"/>
          <w:numId w:val="0"/>
        </w:numPr>
        <w:ind w:left="357" w:hanging="357"/>
      </w:pPr>
    </w:p>
    <w:p w14:paraId="6B906684" w14:textId="77777777" w:rsidR="003C72D5" w:rsidRPr="00C167D5" w:rsidRDefault="003C72D5" w:rsidP="003C72D5">
      <w:pPr>
        <w:pStyle w:val="AuflistungNummern"/>
        <w:numPr>
          <w:ilvl w:val="0"/>
          <w:numId w:val="0"/>
        </w:numPr>
        <w:ind w:left="357" w:hanging="357"/>
      </w:pPr>
    </w:p>
    <w:p w14:paraId="1DB9CDB1" w14:textId="77777777" w:rsidR="003C72D5" w:rsidRPr="00C167D5" w:rsidRDefault="003C72D5" w:rsidP="003C72D5">
      <w:pPr>
        <w:pStyle w:val="AuflistungNummern"/>
        <w:numPr>
          <w:ilvl w:val="0"/>
          <w:numId w:val="0"/>
        </w:numPr>
        <w:ind w:left="357" w:hanging="357"/>
      </w:pPr>
    </w:p>
    <w:p w14:paraId="7C14BCF7" w14:textId="77777777" w:rsidR="003C72D5" w:rsidRPr="00C167D5" w:rsidRDefault="003C72D5" w:rsidP="003C72D5">
      <w:pPr>
        <w:pStyle w:val="AuflistungNummern"/>
        <w:numPr>
          <w:ilvl w:val="0"/>
          <w:numId w:val="0"/>
        </w:numPr>
        <w:ind w:left="357" w:hanging="357"/>
      </w:pPr>
    </w:p>
    <w:p w14:paraId="42A23C60" w14:textId="77777777" w:rsidR="003C72D5" w:rsidRPr="00C167D5" w:rsidRDefault="003C72D5" w:rsidP="003C72D5">
      <w:pPr>
        <w:pStyle w:val="AuflistungNummern"/>
        <w:numPr>
          <w:ilvl w:val="0"/>
          <w:numId w:val="0"/>
        </w:numPr>
        <w:ind w:left="357" w:hanging="357"/>
      </w:pPr>
    </w:p>
    <w:p w14:paraId="64F31766" w14:textId="77777777" w:rsidR="003C72D5" w:rsidRPr="00C167D5" w:rsidRDefault="003C72D5" w:rsidP="003C72D5">
      <w:pPr>
        <w:pStyle w:val="AuflistungNummern"/>
        <w:numPr>
          <w:ilvl w:val="0"/>
          <w:numId w:val="0"/>
        </w:numPr>
        <w:ind w:left="357" w:hanging="357"/>
      </w:pPr>
    </w:p>
    <w:p w14:paraId="5CD58CCE" w14:textId="77777777" w:rsidR="003C72D5" w:rsidRPr="00A60923" w:rsidRDefault="003C72D5" w:rsidP="003C72D5">
      <w:pPr>
        <w:pStyle w:val="AuflistungNummern"/>
        <w:numPr>
          <w:ilvl w:val="0"/>
          <w:numId w:val="0"/>
        </w:numPr>
        <w:ind w:left="357"/>
      </w:pPr>
      <w:r w:rsidRPr="00C167D5">
        <w:t>Die Resultate der Kontrollen zeigen, dass die Anlage den gesetzlichen Grenzwert für Stickoxide über</w:t>
      </w:r>
      <w:r w:rsidRPr="00A60923">
        <w:t>schreitet.</w:t>
      </w:r>
    </w:p>
    <w:p w14:paraId="07879222" w14:textId="77777777" w:rsidR="003C72D5" w:rsidRPr="00A60923" w:rsidRDefault="003C72D5" w:rsidP="003C72D5">
      <w:pPr>
        <w:pStyle w:val="AuflistungNummern"/>
        <w:numPr>
          <w:ilvl w:val="0"/>
          <w:numId w:val="0"/>
        </w:numPr>
      </w:pPr>
    </w:p>
    <w:p w14:paraId="76FDC6EA" w14:textId="77777777" w:rsidR="003C72D5" w:rsidRPr="009757F4" w:rsidRDefault="003C72D5" w:rsidP="003C72D5">
      <w:pPr>
        <w:pStyle w:val="AuflistungNummern"/>
        <w:ind w:left="357" w:hanging="357"/>
      </w:pPr>
      <w:r w:rsidRPr="00B30620">
        <w:t>D</w:t>
      </w:r>
      <w:r w:rsidRPr="00C167D5">
        <w:t xml:space="preserve">er negative Befund der Routinekontrolle vom </w:t>
      </w:r>
      <w:r>
        <w:t>«Datum»</w:t>
      </w:r>
      <w:r w:rsidRPr="00C167D5">
        <w:t xml:space="preserve"> wurde </w:t>
      </w:r>
      <w:r>
        <w:t>«der Eigentümerschaft»</w:t>
      </w:r>
      <w:r w:rsidRPr="00C167D5">
        <w:t xml:space="preserve"> mittels Feuerungsrapport mitgeteilt. Gleichzeitig erfolgte die Aufforderung, die Anlage innert 30 Tagen durch eine Fachfirma einregulieren zu lassen. Auch über den negativen Befund der ersten Nachkontrolle vom </w:t>
      </w:r>
      <w:r>
        <w:t>«Datum»</w:t>
      </w:r>
      <w:r w:rsidRPr="00C167D5">
        <w:t xml:space="preserve"> wurde </w:t>
      </w:r>
      <w:r>
        <w:t>«die Eigentümerschaft» mitte</w:t>
      </w:r>
      <w:r w:rsidRPr="00C167D5">
        <w:t>ls Feuerungsrapport orientiert. Die erneute Grenzwertüberschreitung zeigte, dass die Anlage nicht mehr so zu regulieren ist, dass sie gesetzeskonform betrieben werden kann.</w:t>
      </w:r>
      <w:r w:rsidRPr="00C167D5">
        <w:br/>
      </w:r>
      <w:r w:rsidRPr="00C167D5">
        <w:br/>
        <w:t>In der Folge forderte die</w:t>
      </w:r>
      <w:r>
        <w:t xml:space="preserve"> «</w:t>
      </w:r>
      <w:r w:rsidRPr="00C167D5">
        <w:t>Administrationsstelle Feuerungskontrolle</w:t>
      </w:r>
      <w:r>
        <w:t>» «die Eigentümerschaft»</w:t>
      </w:r>
      <w:r w:rsidRPr="00C167D5">
        <w:t xml:space="preserve"> deshalb auf, schriftlich zu bestätigen, dass die beanstandete Anlage innert </w:t>
      </w:r>
      <w:r>
        <w:t>X</w:t>
      </w:r>
      <w:r w:rsidRPr="00C167D5">
        <w:t xml:space="preserve"> Jahren seit Feststellung der Sanierungspflicht bis zum </w:t>
      </w:r>
      <w:r>
        <w:t>«Datum»</w:t>
      </w:r>
      <w:r w:rsidRPr="00C167D5">
        <w:t xml:space="preserve"> saniert b</w:t>
      </w:r>
      <w:r>
        <w:t>eziehungsweise</w:t>
      </w:r>
      <w:r w:rsidRPr="00C167D5">
        <w:t xml:space="preserve"> ersetzt werde.</w:t>
      </w:r>
      <w:r>
        <w:t xml:space="preserve"> «Die Eigentümerschaft»</w:t>
      </w:r>
      <w:r w:rsidRPr="00C167D5">
        <w:t xml:space="preserve"> ist auf diese Aufforderung nicht eingetreten, obwohl ihnen dargelegt wurde, dass die Sanierung andernfalls von der </w:t>
      </w:r>
      <w:r>
        <w:t>«Gemeinde»</w:t>
      </w:r>
      <w:r w:rsidRPr="00C167D5">
        <w:t xml:space="preserve"> kostenpflichtig verfügt werden wird.</w:t>
      </w:r>
      <w:r w:rsidRPr="00C167D5">
        <w:br/>
      </w:r>
      <w:r w:rsidRPr="00C167D5">
        <w:br/>
        <w:t>Folglich ist die Angelegenheit gestützt auf § 10 Abs. 2 des kantonalen Einführungsgesetzes zum Bundesgesetz über den Umweltschutz vom 30. März 1998 (EGUSG</w:t>
      </w:r>
      <w:r>
        <w:t>; SRL Nr. 700</w:t>
      </w:r>
      <w:r w:rsidRPr="00C167D5">
        <w:t xml:space="preserve">) dem </w:t>
      </w:r>
      <w:r>
        <w:t>«Stadt-/Gemeinderat»</w:t>
      </w:r>
      <w:r w:rsidRPr="00C167D5">
        <w:t xml:space="preserve"> zu überweisen mit dem Antrag, eine entsprechende Sanierungsverfügung zu erlassen. Zwecks Gewährung des rechtlichen Gehörs wurde</w:t>
      </w:r>
      <w:r>
        <w:t xml:space="preserve">n «der Eigentümerschaft» </w:t>
      </w:r>
      <w:r w:rsidRPr="00C167D5">
        <w:t xml:space="preserve">die </w:t>
      </w:r>
      <w:r w:rsidRPr="00C167D5">
        <w:lastRenderedPageBreak/>
        <w:t xml:space="preserve">wesentlichen Punkte dieses Entscheids mit Schreiben </w:t>
      </w:r>
      <w:r>
        <w:t>vom «Datum» zur</w:t>
      </w:r>
      <w:r w:rsidRPr="00C167D5">
        <w:t xml:space="preserve"> Stellungnahme innert 30 Tagen unterbreitet. </w:t>
      </w:r>
      <w:r>
        <w:t xml:space="preserve">«Beschreibung allfällige Reaktion auf </w:t>
      </w:r>
      <w:r w:rsidRPr="009757F4">
        <w:t xml:space="preserve">rechtliches Gehör». </w:t>
      </w:r>
    </w:p>
    <w:p w14:paraId="00C4F16D" w14:textId="77777777" w:rsidR="003C72D5" w:rsidRPr="009757F4" w:rsidRDefault="003C72D5" w:rsidP="003C72D5">
      <w:pPr>
        <w:pStyle w:val="AuflistungNummern"/>
        <w:numPr>
          <w:ilvl w:val="0"/>
          <w:numId w:val="0"/>
        </w:numPr>
        <w:ind w:left="357"/>
      </w:pPr>
    </w:p>
    <w:p w14:paraId="1E6EA42A" w14:textId="77777777" w:rsidR="003C72D5" w:rsidRPr="00A60923" w:rsidRDefault="003C72D5" w:rsidP="003C72D5"/>
    <w:p w14:paraId="159C9044" w14:textId="77777777" w:rsidR="003C72D5" w:rsidRPr="00A60923" w:rsidRDefault="003C72D5" w:rsidP="003C72D5">
      <w:pPr>
        <w:rPr>
          <w:b/>
        </w:rPr>
      </w:pPr>
      <w:r w:rsidRPr="00A60923">
        <w:rPr>
          <w:b/>
        </w:rPr>
        <w:t>Erwägungen</w:t>
      </w:r>
    </w:p>
    <w:p w14:paraId="325737BD" w14:textId="77777777" w:rsidR="003C72D5" w:rsidRPr="00C167D5" w:rsidRDefault="003C72D5" w:rsidP="003C72D5">
      <w:pPr>
        <w:pStyle w:val="Aufzhlungszeichen"/>
        <w:numPr>
          <w:ilvl w:val="0"/>
          <w:numId w:val="6"/>
        </w:numPr>
        <w:tabs>
          <w:tab w:val="clear" w:pos="720"/>
          <w:tab w:val="num" w:pos="357"/>
        </w:tabs>
        <w:spacing w:line="300" w:lineRule="atLeast"/>
      </w:pPr>
      <w:r w:rsidRPr="00C167D5">
        <w:t>Gemäss § 9 der kantonalen Umweltschutzverordnung vom 15. Dezember 1998 (USV</w:t>
      </w:r>
      <w:r>
        <w:t>; SRL Nr. 701</w:t>
      </w:r>
      <w:r w:rsidRPr="00C167D5">
        <w:t xml:space="preserve">) sorgen die Gemeinden für Messung, Kontrolle und Sanierung der Feuerungsanlagen, die mit Heizöl „extra leicht“ oder mit Gas betrieben werden und eine Feuerungswärmeleistung bis zu 350 kW aufweisen. Gemäss § 10 Abs. 2 EGUSG ordnen sie bei Mängeln von Feuerungsanlagen oder anderen Problemen die notwendigen Massnahmen an. In der </w:t>
      </w:r>
      <w:r>
        <w:t>«Gemeinde»</w:t>
      </w:r>
      <w:r w:rsidRPr="00C167D5">
        <w:t xml:space="preserve"> ist es Aufgabe der </w:t>
      </w:r>
      <w:r>
        <w:t>«Abteilung»,</w:t>
      </w:r>
      <w:r w:rsidRPr="00C167D5">
        <w:t xml:space="preserve"> die Kontrolle der Feuerungsanlagen zu organisieren und durchführen zu lassen. Sie hat die administrativen Aufgaben ihrerseits </w:t>
      </w:r>
      <w:r>
        <w:t xml:space="preserve">an </w:t>
      </w:r>
      <w:r w:rsidRPr="00C167D5">
        <w:t xml:space="preserve">die </w:t>
      </w:r>
      <w:r>
        <w:t>«Administrationsstelle»</w:t>
      </w:r>
      <w:r w:rsidRPr="00C167D5">
        <w:t xml:space="preserve"> übertragen.</w:t>
      </w:r>
    </w:p>
    <w:p w14:paraId="5702243D" w14:textId="77777777" w:rsidR="003C72D5" w:rsidRPr="00C167D5" w:rsidRDefault="003C72D5" w:rsidP="003C72D5">
      <w:pPr>
        <w:ind w:left="357" w:hanging="357"/>
      </w:pPr>
    </w:p>
    <w:p w14:paraId="083520CD" w14:textId="77777777" w:rsidR="003C72D5" w:rsidRPr="00C167D5" w:rsidRDefault="003C72D5" w:rsidP="003C72D5">
      <w:pPr>
        <w:pStyle w:val="Aufzhlungszeichen"/>
        <w:numPr>
          <w:ilvl w:val="0"/>
          <w:numId w:val="3"/>
        </w:numPr>
        <w:tabs>
          <w:tab w:val="clear" w:pos="720"/>
          <w:tab w:val="num" w:pos="357"/>
        </w:tabs>
        <w:spacing w:line="300" w:lineRule="atLeast"/>
      </w:pPr>
      <w:r w:rsidRPr="00C167D5">
        <w:t>Neue stationäre Anlagen müssen so ausgerüstet und betrieben werden, dass sie die festgelegten Emissionsbegrenzungen einhalten (Art. 3 Abs. 1 LRV). Emissionen sind möglichst nahe am Ort ihrer Entstehung möglichst vollständig zu erfassen und so abzuleiten, dass keine übermässigen Immissionen entstehen. Sie müssen in der Regel durch Kamine oder Abluftkanäle über Dach ausgestossen werden (Art. 6 Abs. 1 und 2 LRV). An Gasfeuerungsanlagen sind nach Art. 13 LRV in der Regel alle vier Jahre Messungen oder Kontrollen vorzunehmen. Diese Bestimmungen über die vorsorgliche Emissionsbegrenzung bei neuen stationären Anlagen gelten auch für bestehende stationäre Anlagen (Art. 7 Abs. 1 LRV). Anlagen, die den Vorschriften des Bundesgesetzes über den Umweltschutz vom 7. Oktober 1983 (USG</w:t>
      </w:r>
      <w:r>
        <w:t>; SR 814.01</w:t>
      </w:r>
      <w:r w:rsidRPr="00C167D5">
        <w:t>) oder den Umweltvorschriften anderer Bundesgesetze nicht genügen, müssen saniert werden (Art. 16 Abs. 1 USG). Die Behörde sorgt dafür, dass bestehende stationäre Anlagen, die den gesetzlichen Anforderungen nicht genügen, saniert werden. Sie erlässt die erforderlichen Verfügungen und legt darin die Sanierungsfrist fest. Notfalls verfügt sie für die Dauer der Sanierung Betriebseinschränkungen oder die Stilllegung der Anlage (Art. 8 Abs. 1 und 2 LRV).</w:t>
      </w:r>
    </w:p>
    <w:p w14:paraId="7938122A" w14:textId="77777777" w:rsidR="003C72D5" w:rsidRPr="00C167D5" w:rsidRDefault="003C72D5" w:rsidP="003C72D5">
      <w:pPr>
        <w:ind w:left="357" w:hanging="357"/>
      </w:pPr>
    </w:p>
    <w:p w14:paraId="771DD036" w14:textId="77777777" w:rsidR="003C72D5" w:rsidRPr="00C167D5" w:rsidRDefault="003C72D5" w:rsidP="003C72D5">
      <w:pPr>
        <w:pStyle w:val="Aufzhlungszeichen"/>
        <w:numPr>
          <w:ilvl w:val="0"/>
          <w:numId w:val="3"/>
        </w:numPr>
        <w:tabs>
          <w:tab w:val="clear" w:pos="720"/>
          <w:tab w:val="num" w:pos="357"/>
        </w:tabs>
        <w:spacing w:line="300" w:lineRule="atLeast"/>
      </w:pPr>
      <w:r w:rsidRPr="00C167D5">
        <w:t xml:space="preserve">Im vorliegenden Fall überschreiten die Stickoxidemissionen der Gasfeuerung an der </w:t>
      </w:r>
      <w:r>
        <w:t>«Adresse Heizkessel»</w:t>
      </w:r>
      <w:r w:rsidRPr="00C167D5">
        <w:t xml:space="preserve"> die zulässigen Grenzwerte der </w:t>
      </w:r>
      <w:r>
        <w:t>LRV</w:t>
      </w:r>
      <w:r w:rsidRPr="00C167D5">
        <w:t xml:space="preserve">. Die Anlage ist deshalb sanierungspflichtig im Sinne von Art. 8 LRV. Als Sanierungsfrist scheinen aufgrund der Schlussbestimmungen der Änderung vom 23. Juni 2004 der LRV </w:t>
      </w:r>
      <w:r>
        <w:t>sechs</w:t>
      </w:r>
      <w:r w:rsidRPr="00C167D5">
        <w:t xml:space="preserve"> Jahre seit der ersten Beanstandung der Anlage am </w:t>
      </w:r>
      <w:r>
        <w:t>«Datum»</w:t>
      </w:r>
      <w:r w:rsidRPr="00C167D5">
        <w:t xml:space="preserve"> angemessen. Die Sanierung des beanstandeten Wärmeerzeugers hat</w:t>
      </w:r>
      <w:r>
        <w:t xml:space="preserve"> daher</w:t>
      </w:r>
      <w:r w:rsidRPr="00C167D5">
        <w:t xml:space="preserve"> bis zum </w:t>
      </w:r>
      <w:r>
        <w:t>«Datum»</w:t>
      </w:r>
      <w:r w:rsidRPr="00C167D5">
        <w:t xml:space="preserve"> zu erfolgen. Mit dieser Fristansetzung ist die Strafandrohung nach Art. 292 des Schweizerischen Strafgesetzbuches </w:t>
      </w:r>
      <w:r>
        <w:t xml:space="preserve">vom 21. Dezember 1937 </w:t>
      </w:r>
      <w:r w:rsidRPr="00C167D5">
        <w:t>(StGB</w:t>
      </w:r>
      <w:r>
        <w:t>; SR 311.0</w:t>
      </w:r>
      <w:r w:rsidRPr="00C167D5">
        <w:t>) b</w:t>
      </w:r>
      <w:r>
        <w:t>eziehungsweise</w:t>
      </w:r>
      <w:r w:rsidRPr="00C167D5">
        <w:t xml:space="preserve"> § 47 Abs. 1 </w:t>
      </w:r>
      <w:proofErr w:type="spellStart"/>
      <w:r w:rsidRPr="00C167D5">
        <w:t>lit</w:t>
      </w:r>
      <w:proofErr w:type="spellEnd"/>
      <w:r w:rsidRPr="00C167D5">
        <w:t>. b EGUSG zu verbinden. Gemäss dieser Gesetzesbestimmung wird mit Busse bis zu Fr. 100'000.– bestraft, wer Einzelverfügungen, die gestützt auf dieses Gesetz erlassen werden, nicht befolgt. Überdies hat die Nichtbeachtung dieser Frist die Ersatzvornahme gemäss §§ 212 f. des Gesetzes über die Verwaltungsrechtspflege vom 3. Juli 1972 (VRG</w:t>
      </w:r>
      <w:r>
        <w:t>; SRL Nr. 40</w:t>
      </w:r>
      <w:r w:rsidRPr="00C167D5">
        <w:t>) ohne weitere Verfügung zur Folge, wobei für deren Kosten ein gesetzliches Pfandrecht ohne Eintrag im Grundbuch besteht (§ 46 Abs. 2 EGUSG).</w:t>
      </w:r>
      <w:r w:rsidRPr="00C167D5">
        <w:br/>
      </w:r>
      <w:r w:rsidRPr="00C167D5">
        <w:br/>
        <w:t xml:space="preserve">Die </w:t>
      </w:r>
      <w:r>
        <w:t>«Abteilung»</w:t>
      </w:r>
      <w:r w:rsidRPr="00C167D5">
        <w:t xml:space="preserve"> hat die Durchführung der Sanierung </w:t>
      </w:r>
      <w:r>
        <w:t>beziehungsweise</w:t>
      </w:r>
      <w:r w:rsidRPr="00C167D5">
        <w:t xml:space="preserve"> den Ersatz der beanstandeten Feuerungsanlage nach Ablauf der angesetzten Frist auf Kosten der Anlagenbetreiber</w:t>
      </w:r>
      <w:r>
        <w:t>*</w:t>
      </w:r>
      <w:r w:rsidRPr="00C167D5">
        <w:t xml:space="preserve">in überprüfen zu lassen und widrigenfalls alle weiteren notwendigen Rechtshandlungen namens der </w:t>
      </w:r>
      <w:r>
        <w:t>Gemeinde</w:t>
      </w:r>
      <w:r w:rsidRPr="00C167D5">
        <w:t xml:space="preserve"> anzuordnen.</w:t>
      </w:r>
    </w:p>
    <w:p w14:paraId="4DC9AAAB" w14:textId="77777777" w:rsidR="003C72D5" w:rsidRPr="00C167D5" w:rsidRDefault="003C72D5" w:rsidP="003C72D5">
      <w:pPr>
        <w:ind w:left="357" w:hanging="357"/>
      </w:pPr>
    </w:p>
    <w:p w14:paraId="4CA5301F" w14:textId="77777777" w:rsidR="003C72D5" w:rsidRPr="00C167D5" w:rsidRDefault="003C72D5" w:rsidP="003C72D5">
      <w:pPr>
        <w:pStyle w:val="Aufzhlungszeichen"/>
        <w:numPr>
          <w:ilvl w:val="0"/>
          <w:numId w:val="3"/>
        </w:numPr>
        <w:tabs>
          <w:tab w:val="clear" w:pos="720"/>
          <w:tab w:val="num" w:pos="357"/>
        </w:tabs>
        <w:spacing w:line="300" w:lineRule="atLeast"/>
      </w:pPr>
      <w:r w:rsidRPr="00C167D5">
        <w:t>Ziel der Sanierung ist die Wiederherstellung des gesetzlich zulässigen Zustandes. Die Sanierung gilt als abgeschlossen, wenn:</w:t>
      </w:r>
    </w:p>
    <w:p w14:paraId="7833F278" w14:textId="77777777" w:rsidR="003C72D5" w:rsidRPr="00C167D5" w:rsidRDefault="003C72D5" w:rsidP="003C72D5">
      <w:pPr>
        <w:pStyle w:val="Auflistung1EbenenachNummerierung"/>
        <w:numPr>
          <w:ilvl w:val="0"/>
          <w:numId w:val="1"/>
        </w:numPr>
        <w:ind w:left="527" w:hanging="170"/>
      </w:pPr>
      <w:r w:rsidRPr="00C167D5">
        <w:lastRenderedPageBreak/>
        <w:t xml:space="preserve">eine Abnahmekontrolle an der bestehenden Anlage oder an einer neuen Feuerungsanlage zeigt, dass die Vorschriften der LRV eingehalten sind. Innert 30 Tagen nach Abschluss der Sanierungsarbeiten, spätestens aber innerhalb der angesetzten Sanierungsfrist des </w:t>
      </w:r>
      <w:r>
        <w:t>«Datums»</w:t>
      </w:r>
      <w:r w:rsidRPr="00C167D5">
        <w:t xml:space="preserve"> ist die Anlage deshalb durch eine</w:t>
      </w:r>
      <w:r>
        <w:t>*</w:t>
      </w:r>
      <w:r w:rsidRPr="00C167D5">
        <w:t>n, auf der Zulassungsliste des Kantons aufgeführten, Feuerungskontrolleur</w:t>
      </w:r>
      <w:r>
        <w:t>*in</w:t>
      </w:r>
      <w:r w:rsidRPr="00C167D5">
        <w:t xml:space="preserve"> überprüfen zu lassen. Die Zulassungsliste kann im Internet unter </w:t>
      </w:r>
      <w:hyperlink r:id="rId7" w:history="1">
        <w:r w:rsidRPr="00C167D5">
          <w:t>www.gesch-feuko.ch</w:t>
        </w:r>
      </w:hyperlink>
      <w:r w:rsidRPr="00C167D5">
        <w:t xml:space="preserve"> eingesehen werden. Die Kosten für die Kontrolle gehen gemäss dem Verursacherprinzip zu Lasten der Eigentümerschaft.</w:t>
      </w:r>
    </w:p>
    <w:p w14:paraId="7BE9E44B" w14:textId="77777777" w:rsidR="003C72D5" w:rsidRDefault="003C72D5" w:rsidP="003C72D5">
      <w:pPr>
        <w:pStyle w:val="Auflistung1EbenenachNummerierung"/>
        <w:numPr>
          <w:ilvl w:val="0"/>
          <w:numId w:val="1"/>
        </w:numPr>
        <w:ind w:left="527" w:hanging="170"/>
      </w:pPr>
      <w:r w:rsidRPr="00C167D5">
        <w:t xml:space="preserve">die bestehende Anlage durch ein Heizungssystem ersetzt wird, welches nicht unter den Geltungsbereich der LRV fällt. In diesem Falle gilt die Anlage als saniert, wenn bei der </w:t>
      </w:r>
      <w:r>
        <w:t>Gemeinde</w:t>
      </w:r>
      <w:r w:rsidRPr="00C167D5">
        <w:t xml:space="preserve"> eine Ausführungsbestätigung des entsprechenden Ersatzes eines Wärmeerzeugers nach § 12 Kantonale Energieverordnung </w:t>
      </w:r>
      <w:r>
        <w:t xml:space="preserve">vom 25. September 2018 </w:t>
      </w:r>
      <w:r w:rsidRPr="00C167D5">
        <w:t>(</w:t>
      </w:r>
      <w:proofErr w:type="spellStart"/>
      <w:r w:rsidRPr="00C167D5">
        <w:t>KEnV</w:t>
      </w:r>
      <w:proofErr w:type="spellEnd"/>
      <w:r>
        <w:t>; SRL Nr. 774</w:t>
      </w:r>
      <w:r w:rsidRPr="00C167D5">
        <w:t>) eingeht.</w:t>
      </w:r>
    </w:p>
    <w:p w14:paraId="56E81771" w14:textId="77777777" w:rsidR="003C72D5" w:rsidRPr="00C167D5" w:rsidRDefault="003C72D5" w:rsidP="003C72D5">
      <w:pPr>
        <w:pStyle w:val="Auflistung1EbenenachNummerierung"/>
        <w:ind w:left="357"/>
      </w:pPr>
    </w:p>
    <w:p w14:paraId="20D8302E" w14:textId="77777777" w:rsidR="003C72D5" w:rsidRPr="00C167D5" w:rsidRDefault="003C72D5" w:rsidP="003C72D5">
      <w:pPr>
        <w:pStyle w:val="Auflistung1EbenenachNummerierung"/>
        <w:ind w:left="357"/>
      </w:pPr>
      <w:r w:rsidRPr="00C167D5">
        <w:t xml:space="preserve">Sollte der bestehende Heizkessel ersetzt oder entfernt werden, ist dies laut § 13 Abs. 3 </w:t>
      </w:r>
      <w:r>
        <w:t>des k</w:t>
      </w:r>
      <w:r w:rsidRPr="00C167D5">
        <w:t>antonale</w:t>
      </w:r>
      <w:r>
        <w:t>n</w:t>
      </w:r>
      <w:r w:rsidRPr="00C167D5">
        <w:t xml:space="preserve"> Energiegesetz</w:t>
      </w:r>
      <w:r>
        <w:t>es</w:t>
      </w:r>
      <w:r w:rsidRPr="00C167D5">
        <w:t xml:space="preserve"> </w:t>
      </w:r>
      <w:r>
        <w:t xml:space="preserve">vom 4. Dezember 2017 </w:t>
      </w:r>
      <w:r w:rsidRPr="00C167D5">
        <w:t>(</w:t>
      </w:r>
      <w:proofErr w:type="spellStart"/>
      <w:r w:rsidRPr="00C167D5">
        <w:t>KEnG</w:t>
      </w:r>
      <w:proofErr w:type="spellEnd"/>
      <w:r>
        <w:t>; SRL Nr. 773</w:t>
      </w:r>
      <w:r w:rsidRPr="00C167D5">
        <w:t xml:space="preserve">) auf jeden Fall </w:t>
      </w:r>
      <w:r>
        <w:t>gegenüber</w:t>
      </w:r>
      <w:r w:rsidRPr="00C167D5">
        <w:t xml:space="preserve"> der </w:t>
      </w:r>
      <w:r>
        <w:t>«Gemeinde»</w:t>
      </w:r>
      <w:r w:rsidRPr="00C167D5">
        <w:t xml:space="preserve"> meldepflichtig. Dies ist insbesondere auch der Fall, wenn der bestehende Gasheizkessel wiederum durch einen Gasheizkessel ersetzt werden soll. Die Meldung hat spätestens 20 Tage vor Baubeginn zu erfolgen (§ 12 Abs. 1</w:t>
      </w:r>
      <w:r>
        <w:t xml:space="preserve"> </w:t>
      </w:r>
      <w:proofErr w:type="spellStart"/>
      <w:r w:rsidRPr="00C167D5">
        <w:t>KEnV</w:t>
      </w:r>
      <w:proofErr w:type="spellEnd"/>
      <w:r w:rsidRPr="00C167D5">
        <w:t xml:space="preserve">). Weiter muss nach Abschluss der Arbeiten laut § 12 Abs. 2 </w:t>
      </w:r>
      <w:proofErr w:type="spellStart"/>
      <w:r w:rsidRPr="00C167D5">
        <w:t>KEnV</w:t>
      </w:r>
      <w:proofErr w:type="spellEnd"/>
      <w:r w:rsidRPr="00C167D5">
        <w:t xml:space="preserve"> eine Ausführungsbestätigung eingereicht werden.</w:t>
      </w:r>
    </w:p>
    <w:p w14:paraId="20BD1E4B" w14:textId="77777777" w:rsidR="003C72D5" w:rsidRPr="00C167D5" w:rsidRDefault="003C72D5" w:rsidP="003C72D5">
      <w:pPr>
        <w:ind w:left="357" w:hanging="357"/>
      </w:pPr>
    </w:p>
    <w:p w14:paraId="123FE4F6" w14:textId="77777777" w:rsidR="003C72D5" w:rsidRPr="00C167D5" w:rsidRDefault="003C72D5" w:rsidP="003C72D5">
      <w:pPr>
        <w:pStyle w:val="Text"/>
        <w:ind w:left="357" w:hanging="357"/>
      </w:pPr>
      <w:r w:rsidRPr="00C167D5">
        <w:t>5.</w:t>
      </w:r>
      <w:r w:rsidRPr="00C167D5">
        <w:tab/>
        <w:t xml:space="preserve">Gemäss § 10 Abs. 6 der Verordnung über die Gebühren im Bereich des Umweltschutzes und des Gewässerschutzes vom 6. Juli 1999 </w:t>
      </w:r>
      <w:r>
        <w:t xml:space="preserve">(SRL Nr. 705) </w:t>
      </w:r>
      <w:r w:rsidRPr="00C167D5">
        <w:t xml:space="preserve">trägt der Anlagenbetreiber </w:t>
      </w:r>
      <w:r>
        <w:t xml:space="preserve">oder die Anlagebetreiberin </w:t>
      </w:r>
      <w:r w:rsidRPr="00C167D5">
        <w:t xml:space="preserve">die Kosten dieses Verfahrens nach Zeitaufwand. Dieser beträgt rund </w:t>
      </w:r>
      <w:r>
        <w:t>4</w:t>
      </w:r>
      <w:r w:rsidRPr="00C167D5">
        <w:t xml:space="preserve"> Stunden. Gestützt auf § 3 Abs. 2 dieser Verordnung wird der Stundenansatz auf Fr. 160.– festgesetzt. Die von </w:t>
      </w:r>
      <w:r>
        <w:t>der Eigentümerschaft</w:t>
      </w:r>
      <w:r w:rsidRPr="00C167D5">
        <w:t xml:space="preserve"> zu tragenden amtlichen Kosten betragen somit Fr. 6</w:t>
      </w:r>
      <w:r>
        <w:t>40</w:t>
      </w:r>
      <w:r w:rsidRPr="00C167D5">
        <w:t>.–.</w:t>
      </w:r>
    </w:p>
    <w:p w14:paraId="383F704F" w14:textId="77777777" w:rsidR="003C72D5" w:rsidRPr="00A60923" w:rsidRDefault="003C72D5" w:rsidP="003C72D5"/>
    <w:p w14:paraId="74C4505A" w14:textId="77777777" w:rsidR="003C72D5" w:rsidRPr="00A60923" w:rsidRDefault="003C72D5" w:rsidP="003C72D5">
      <w:pPr>
        <w:rPr>
          <w:b/>
        </w:rPr>
      </w:pPr>
      <w:r w:rsidRPr="00A60923">
        <w:rPr>
          <w:b/>
        </w:rPr>
        <w:t>Rechtsspruch</w:t>
      </w:r>
    </w:p>
    <w:p w14:paraId="2A4B7BBE" w14:textId="77777777" w:rsidR="003C72D5" w:rsidRDefault="003C72D5" w:rsidP="003C72D5">
      <w:pPr>
        <w:pStyle w:val="AuflistungNummern"/>
        <w:numPr>
          <w:ilvl w:val="0"/>
          <w:numId w:val="7"/>
        </w:numPr>
        <w:ind w:left="357" w:hanging="357"/>
      </w:pPr>
      <w:r>
        <w:t>«Die Eigentümerschaft» «Adresse Eigentümerschaft»</w:t>
      </w:r>
      <w:r w:rsidRPr="00C167D5">
        <w:rPr>
          <w:noProof/>
        </w:rPr>
        <w:t>,</w:t>
      </w:r>
      <w:r w:rsidRPr="00C167D5">
        <w:t xml:space="preserve"> Eigentümerin der Gasfeuerung vom Typ </w:t>
      </w:r>
      <w:r>
        <w:t>«Typ Heizkessel»</w:t>
      </w:r>
      <w:r w:rsidRPr="00C167D5">
        <w:t xml:space="preserve"> in der Liegenschaft </w:t>
      </w:r>
      <w:r>
        <w:t>«Adresse Heizkessel»</w:t>
      </w:r>
      <w:r w:rsidRPr="00C167D5">
        <w:rPr>
          <w:noProof/>
        </w:rPr>
        <w:t xml:space="preserve"> </w:t>
      </w:r>
      <w:r w:rsidRPr="00C167D5">
        <w:t xml:space="preserve">wird </w:t>
      </w:r>
      <w:r>
        <w:t>verpflichtet</w:t>
      </w:r>
      <w:r w:rsidRPr="00C167D5">
        <w:t>, die</w:t>
      </w:r>
      <w:r>
        <w:t xml:space="preserve"> genannte</w:t>
      </w:r>
      <w:r w:rsidRPr="00C167D5">
        <w:t xml:space="preserve"> Feuerungsanlage so weit zu sanieren, dass die Grenzwerte der eidgenössischen </w:t>
      </w:r>
      <w:r>
        <w:t>Luftreinhalteverordnung</w:t>
      </w:r>
      <w:r w:rsidRPr="00C167D5">
        <w:t xml:space="preserve"> eingehalten werden. Als Sanierung gilt </w:t>
      </w:r>
      <w:r>
        <w:t xml:space="preserve">entsprechend den Erwägungen </w:t>
      </w:r>
      <w:r w:rsidRPr="00C167D5">
        <w:t>auch ein Ersatz der Feuerungsanlage.</w:t>
      </w:r>
    </w:p>
    <w:p w14:paraId="2CD6E2FE" w14:textId="77777777" w:rsidR="003C72D5" w:rsidRPr="0010177A" w:rsidRDefault="003C72D5" w:rsidP="003C72D5">
      <w:pPr>
        <w:pStyle w:val="AuflistungNummern"/>
        <w:numPr>
          <w:ilvl w:val="0"/>
          <w:numId w:val="0"/>
        </w:numPr>
        <w:ind w:left="357"/>
      </w:pPr>
    </w:p>
    <w:p w14:paraId="4ACF023D" w14:textId="77777777" w:rsidR="003C72D5" w:rsidRDefault="003C72D5" w:rsidP="003C72D5">
      <w:pPr>
        <w:pStyle w:val="AuflistungNummern"/>
        <w:numPr>
          <w:ilvl w:val="0"/>
          <w:numId w:val="7"/>
        </w:numPr>
        <w:ind w:left="357" w:hanging="357"/>
      </w:pPr>
      <w:r w:rsidRPr="00C167D5">
        <w:t xml:space="preserve">Gestützt auf Art. 10 Abs. 3 </w:t>
      </w:r>
      <w:proofErr w:type="spellStart"/>
      <w:r w:rsidRPr="00C167D5">
        <w:t>lit</w:t>
      </w:r>
      <w:proofErr w:type="spellEnd"/>
      <w:r w:rsidRPr="00C167D5">
        <w:t xml:space="preserve">. a </w:t>
      </w:r>
      <w:r>
        <w:t xml:space="preserve">der </w:t>
      </w:r>
      <w:r w:rsidRPr="00C167D5">
        <w:t>L</w:t>
      </w:r>
      <w:r>
        <w:t>uftreinhalteverordnung</w:t>
      </w:r>
      <w:r w:rsidRPr="00C167D5">
        <w:t xml:space="preserve"> hat die Sanierung b</w:t>
      </w:r>
      <w:r>
        <w:t>is am «Datum» zu erfolgen</w:t>
      </w:r>
      <w:r w:rsidRPr="00C167D5">
        <w:t xml:space="preserve">. Der Abschluss der Sanierung ist der </w:t>
      </w:r>
      <w:r>
        <w:t>«Abteilung»</w:t>
      </w:r>
      <w:r w:rsidRPr="00C167D5">
        <w:t xml:space="preserve">, schriftlich zu melden. </w:t>
      </w:r>
    </w:p>
    <w:p w14:paraId="0295C172" w14:textId="77777777" w:rsidR="003C72D5" w:rsidRDefault="003C72D5" w:rsidP="003C72D5">
      <w:pPr>
        <w:pStyle w:val="Listenabsatz"/>
      </w:pPr>
    </w:p>
    <w:p w14:paraId="462AD960" w14:textId="77777777" w:rsidR="003C72D5" w:rsidRDefault="003C72D5" w:rsidP="003C72D5">
      <w:pPr>
        <w:pStyle w:val="AuflistungNummern"/>
        <w:numPr>
          <w:ilvl w:val="0"/>
          <w:numId w:val="7"/>
        </w:numPr>
        <w:ind w:left="357" w:hanging="357"/>
      </w:pPr>
      <w:r>
        <w:t>Für den Fall eines</w:t>
      </w:r>
      <w:r w:rsidRPr="00C167D5">
        <w:t xml:space="preserve"> Nichtbeachten</w:t>
      </w:r>
      <w:r>
        <w:t>s</w:t>
      </w:r>
      <w:r w:rsidRPr="00C167D5">
        <w:t xml:space="preserve"> dieser Frist wird </w:t>
      </w:r>
      <w:r>
        <w:t>«der Eigentümerschaft»</w:t>
      </w:r>
      <w:r w:rsidRPr="00C167D5">
        <w:t xml:space="preserve"> </w:t>
      </w:r>
      <w:r>
        <w:t xml:space="preserve">eine </w:t>
      </w:r>
      <w:r w:rsidRPr="00C167D5">
        <w:t xml:space="preserve">Busse nach Art. 292 StGB </w:t>
      </w:r>
      <w:r>
        <w:t>beziehungsweise</w:t>
      </w:r>
      <w:r w:rsidRPr="00C167D5">
        <w:t xml:space="preserve"> § 47 Abs. 1 </w:t>
      </w:r>
      <w:proofErr w:type="spellStart"/>
      <w:r w:rsidRPr="00C167D5">
        <w:t>lit</w:t>
      </w:r>
      <w:proofErr w:type="spellEnd"/>
      <w:r w:rsidRPr="00C167D5">
        <w:t xml:space="preserve">. b EGUSG angedroht. </w:t>
      </w:r>
      <w:r>
        <w:t>Ein</w:t>
      </w:r>
      <w:r w:rsidRPr="00C167D5">
        <w:t xml:space="preserve"> Nichtbeachten der Frist hat auch die Ersatzvornahme gemäss §§ 212 f. VRG ohne weitere Verfügung zur Folge. Für die Kosten der Ersatzvornahme besteht ein gesetzliches Pfandrecht.</w:t>
      </w:r>
    </w:p>
    <w:p w14:paraId="74E22319" w14:textId="77777777" w:rsidR="003C72D5" w:rsidRPr="0010177A" w:rsidRDefault="003C72D5" w:rsidP="003C72D5">
      <w:pPr>
        <w:pStyle w:val="AuflistungNummern"/>
        <w:numPr>
          <w:ilvl w:val="0"/>
          <w:numId w:val="0"/>
        </w:numPr>
        <w:ind w:left="357"/>
      </w:pPr>
    </w:p>
    <w:p w14:paraId="22696427" w14:textId="77777777" w:rsidR="003C72D5" w:rsidRDefault="003C72D5" w:rsidP="003C72D5">
      <w:pPr>
        <w:pStyle w:val="AuflistungNummern"/>
        <w:ind w:left="357" w:hanging="357"/>
      </w:pPr>
      <w:r w:rsidRPr="00C167D5">
        <w:t xml:space="preserve">Die </w:t>
      </w:r>
      <w:r>
        <w:t>«Abteilung»</w:t>
      </w:r>
      <w:r w:rsidRPr="00C167D5">
        <w:t xml:space="preserve"> wird beauftragt,</w:t>
      </w:r>
    </w:p>
    <w:p w14:paraId="4033FF90" w14:textId="77777777" w:rsidR="003C72D5" w:rsidRDefault="003C72D5" w:rsidP="003C72D5">
      <w:pPr>
        <w:pStyle w:val="AuflistungNummern"/>
        <w:numPr>
          <w:ilvl w:val="1"/>
          <w:numId w:val="5"/>
        </w:numPr>
      </w:pPr>
      <w:r w:rsidRPr="00C167D5">
        <w:t xml:space="preserve">die Durchführung der Sanierung </w:t>
      </w:r>
      <w:r>
        <w:t>beziehungsweise</w:t>
      </w:r>
      <w:r w:rsidRPr="00C167D5">
        <w:t xml:space="preserve"> den Ersatz der beanstandeten Feuerungsanlage nach Ablauf der angesetzten Frist auf Kosten de</w:t>
      </w:r>
      <w:r>
        <w:t>r</w:t>
      </w:r>
      <w:r w:rsidRPr="00C167D5">
        <w:t xml:space="preserve"> Anlagenbetreiber</w:t>
      </w:r>
      <w:r>
        <w:t>in</w:t>
      </w:r>
      <w:r w:rsidRPr="00C167D5">
        <w:t xml:space="preserve"> überprüfen zu lassen;</w:t>
      </w:r>
    </w:p>
    <w:p w14:paraId="25E01786" w14:textId="77777777" w:rsidR="003C72D5" w:rsidRDefault="003C72D5" w:rsidP="003C72D5">
      <w:pPr>
        <w:pStyle w:val="AuflistungNummern"/>
        <w:numPr>
          <w:ilvl w:val="1"/>
          <w:numId w:val="5"/>
        </w:numPr>
      </w:pPr>
      <w:r w:rsidRPr="00C167D5">
        <w:t xml:space="preserve">alle weiteren notwendigen Rechtshandlungen namens </w:t>
      </w:r>
      <w:r>
        <w:t>«der Gemeinde»</w:t>
      </w:r>
      <w:r w:rsidRPr="00C167D5">
        <w:t xml:space="preserve">, insbesondere die Ersatzvornahme, anzuordnen, sofern </w:t>
      </w:r>
      <w:r>
        <w:t>«die Eigentümerschaft»</w:t>
      </w:r>
      <w:r w:rsidRPr="00C167D5">
        <w:t xml:space="preserve"> der Aufforderung gemäss den Ziffern 1 und 2 dieser Verfügung nicht innert angesetzter Frist nachkommt.</w:t>
      </w:r>
    </w:p>
    <w:p w14:paraId="20F32BD9" w14:textId="77777777" w:rsidR="003C72D5" w:rsidRPr="00C167D5" w:rsidRDefault="003C72D5" w:rsidP="003C72D5">
      <w:pPr>
        <w:pStyle w:val="AuflistungNummern"/>
        <w:numPr>
          <w:ilvl w:val="0"/>
          <w:numId w:val="0"/>
        </w:numPr>
        <w:ind w:left="1440"/>
      </w:pPr>
    </w:p>
    <w:p w14:paraId="2BE5F834" w14:textId="77777777" w:rsidR="003C72D5" w:rsidRDefault="003C72D5" w:rsidP="003C72D5">
      <w:pPr>
        <w:pStyle w:val="AuflistungNummern"/>
        <w:ind w:left="357" w:hanging="357"/>
      </w:pPr>
      <w:r w:rsidRPr="002D7ED0">
        <w:t xml:space="preserve">«Die Eigentümerschaft» </w:t>
      </w:r>
      <w:r w:rsidRPr="00C167D5">
        <w:t xml:space="preserve">hat die amtlichen Kosten dieses Verfahrens in der Höhe von Fr. </w:t>
      </w:r>
      <w:r>
        <w:t>640</w:t>
      </w:r>
      <w:r w:rsidRPr="00C167D5">
        <w:t>.–</w:t>
      </w:r>
      <w:r w:rsidRPr="00C167D5">
        <w:rPr>
          <w:rFonts w:cs="Frutiger"/>
        </w:rPr>
        <w:t xml:space="preserve"> </w:t>
      </w:r>
      <w:r>
        <w:t>zu bezahlen.</w:t>
      </w:r>
    </w:p>
    <w:p w14:paraId="306FAA99" w14:textId="77777777" w:rsidR="003C72D5" w:rsidRDefault="003C72D5" w:rsidP="003C72D5">
      <w:pPr>
        <w:pStyle w:val="AuflistungNummern"/>
        <w:numPr>
          <w:ilvl w:val="0"/>
          <w:numId w:val="0"/>
        </w:numPr>
        <w:ind w:left="357"/>
      </w:pPr>
    </w:p>
    <w:p w14:paraId="46F082E7" w14:textId="77777777" w:rsidR="003C72D5" w:rsidRDefault="003C72D5" w:rsidP="003C72D5">
      <w:pPr>
        <w:pStyle w:val="AuflistungNummern"/>
        <w:ind w:left="357" w:hanging="357"/>
      </w:pPr>
      <w:r w:rsidRPr="00C167D5">
        <w:t xml:space="preserve">Gegen diesen Entscheid kann innert 30 Tagen seit Zustellung beim Kantonsgericht Luzern, 4. Abteilung, Obergrundstrasse 46, Postfach 3569, 6002 Luzern, Verwaltungsgerichtsbeschwerde </w:t>
      </w:r>
      <w:r w:rsidRPr="00C167D5">
        <w:lastRenderedPageBreak/>
        <w:t>erhoben werden. Die Beschwerde ist im Doppel einzureichen und hat einen Antrag und dessen Begründung zu enthalten. Der angefochtene Entscheid und das Zustellcouvert sind beizulegen.</w:t>
      </w:r>
    </w:p>
    <w:p w14:paraId="13DAB129" w14:textId="77777777" w:rsidR="003C72D5" w:rsidRDefault="003C72D5" w:rsidP="003C72D5">
      <w:pPr>
        <w:pStyle w:val="Listenabsatz"/>
      </w:pPr>
    </w:p>
    <w:p w14:paraId="47CB322F" w14:textId="77777777" w:rsidR="003C72D5" w:rsidRPr="0010177A" w:rsidRDefault="003C72D5" w:rsidP="003C72D5">
      <w:pPr>
        <w:pStyle w:val="AuflistungNummern"/>
        <w:ind w:left="360" w:hanging="360"/>
      </w:pPr>
      <w:r w:rsidRPr="00AA182D">
        <w:t xml:space="preserve">Die </w:t>
      </w:r>
      <w:r>
        <w:t>«Kanzlei»</w:t>
      </w:r>
      <w:r w:rsidRPr="00AA182D">
        <w:t xml:space="preserve"> wird beauftragt,</w:t>
      </w:r>
      <w:r>
        <w:t xml:space="preserve"> «der Eigentümerschaft»</w:t>
      </w:r>
      <w:r w:rsidRPr="00AA182D">
        <w:t xml:space="preserve"> die unter Ziff. 4 erwähnten Kosten in Rechnung zu stellen, nachdem dieser Entscheid rechtskräftig geworden ist</w:t>
      </w:r>
    </w:p>
    <w:p w14:paraId="59510911" w14:textId="77777777" w:rsidR="003C72D5" w:rsidRDefault="003C72D5" w:rsidP="003C72D5"/>
    <w:p w14:paraId="14D5C2C5" w14:textId="77777777" w:rsidR="003C72D5" w:rsidRPr="002D7ED0" w:rsidRDefault="003C72D5" w:rsidP="003C72D5">
      <w:pPr>
        <w:rPr>
          <w:sz w:val="16"/>
          <w:szCs w:val="16"/>
        </w:rPr>
      </w:pPr>
      <w:r w:rsidRPr="002D7ED0">
        <w:rPr>
          <w:sz w:val="16"/>
          <w:szCs w:val="16"/>
        </w:rPr>
        <w:t>Zustellung an</w:t>
      </w:r>
    </w:p>
    <w:p w14:paraId="679DC120" w14:textId="77777777" w:rsidR="003C72D5" w:rsidRPr="002D7ED0" w:rsidRDefault="003C72D5" w:rsidP="003C72D5">
      <w:pPr>
        <w:pStyle w:val="Auflistung2Ebene"/>
        <w:ind w:left="714" w:hanging="357"/>
      </w:pPr>
      <w:r>
        <w:t>«Eigentümerschaft»</w:t>
      </w:r>
      <w:r w:rsidRPr="002D7ED0">
        <w:t xml:space="preserve"> (A-Post Plus)</w:t>
      </w:r>
    </w:p>
    <w:p w14:paraId="2A06E65B" w14:textId="77777777" w:rsidR="003C72D5" w:rsidRPr="002D7ED0" w:rsidRDefault="003C72D5" w:rsidP="003C72D5">
      <w:pPr>
        <w:pStyle w:val="Auflistung2Ebene"/>
        <w:ind w:left="714" w:hanging="357"/>
      </w:pPr>
      <w:r w:rsidRPr="002D7ED0">
        <w:t>Kanton Luzern, Dienststelle Umwelt und Energie, Libellenrain 15, 6002 Luzern</w:t>
      </w:r>
    </w:p>
    <w:p w14:paraId="65C002F4" w14:textId="77777777" w:rsidR="003C72D5" w:rsidRPr="002D7ED0" w:rsidRDefault="003C72D5" w:rsidP="003C72D5">
      <w:pPr>
        <w:pStyle w:val="Auflistung2Ebene"/>
        <w:ind w:left="714" w:hanging="357"/>
      </w:pPr>
      <w:r>
        <w:t>«Administrationsstelle»</w:t>
      </w:r>
    </w:p>
    <w:p w14:paraId="123E38F0" w14:textId="77777777" w:rsidR="003C72D5" w:rsidRDefault="003C72D5" w:rsidP="003C72D5">
      <w:pPr>
        <w:pStyle w:val="Auflistung2Ebene"/>
        <w:ind w:left="714" w:hanging="357"/>
      </w:pPr>
      <w:r>
        <w:t>«Gewählte Feuerungskontrolle»</w:t>
      </w:r>
    </w:p>
    <w:p w14:paraId="781B110C" w14:textId="77777777" w:rsidR="003C72D5" w:rsidRPr="009A51BC" w:rsidRDefault="003C72D5" w:rsidP="003C72D5">
      <w:pPr>
        <w:pStyle w:val="Auflistung2Ebene"/>
        <w:ind w:left="714" w:hanging="357"/>
      </w:pPr>
      <w:r>
        <w:t>«Betroffene Abteilungen»</w:t>
      </w:r>
    </w:p>
    <w:p w14:paraId="1377AF33" w14:textId="77777777" w:rsidR="000951D3" w:rsidRDefault="000951D3"/>
    <w:sectPr w:rsidR="000951D3" w:rsidSect="003C72D5">
      <w:headerReference w:type="default" r:id="rId8"/>
      <w:pgSz w:w="11906" w:h="16838" w:code="9"/>
      <w:pgMar w:top="1077" w:right="1134" w:bottom="102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C5795" w14:textId="77777777" w:rsidR="00EA6386" w:rsidRDefault="00EA6386" w:rsidP="003C72D5">
      <w:pPr>
        <w:spacing w:line="240" w:lineRule="auto"/>
      </w:pPr>
      <w:r>
        <w:separator/>
      </w:r>
    </w:p>
  </w:endnote>
  <w:endnote w:type="continuationSeparator" w:id="0">
    <w:p w14:paraId="6C1671FD" w14:textId="77777777" w:rsidR="00EA6386" w:rsidRDefault="00EA6386" w:rsidP="003C7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w:altName w:val="Calibri"/>
    <w:charset w:val="00"/>
    <w:family w:val="auto"/>
    <w:pitch w:val="variable"/>
    <w:sig w:usb0="8000002F" w:usb1="0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68F1B" w14:textId="77777777" w:rsidR="00EA6386" w:rsidRDefault="00EA6386" w:rsidP="003C72D5">
      <w:pPr>
        <w:spacing w:line="240" w:lineRule="auto"/>
      </w:pPr>
      <w:r>
        <w:separator/>
      </w:r>
    </w:p>
  </w:footnote>
  <w:footnote w:type="continuationSeparator" w:id="0">
    <w:p w14:paraId="6D520AF0" w14:textId="77777777" w:rsidR="00EA6386" w:rsidRDefault="00EA6386" w:rsidP="003C72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20"/>
      <w:gridCol w:w="4536"/>
    </w:tblGrid>
    <w:tr w:rsidR="003C72D5" w14:paraId="6C28FF97" w14:textId="77777777" w:rsidTr="00CC250F">
      <w:tc>
        <w:tcPr>
          <w:tcW w:w="4820" w:type="dxa"/>
          <w:tcMar>
            <w:right w:w="567" w:type="dxa"/>
          </w:tcMar>
        </w:tcPr>
        <w:p w14:paraId="4169EC99" w14:textId="77777777" w:rsidR="003C72D5" w:rsidRDefault="00EA6386" w:rsidP="0050203D">
          <w:pPr>
            <w:pStyle w:val="Informationen"/>
          </w:pPr>
          <w:sdt>
            <w:sdtPr>
              <w:alias w:val="Dokumenttyp"/>
              <w:tag w:val="DocumentType"/>
              <w:id w:val="-40596895"/>
              <w:dataBinding w:prefixMappings="xmlns:ns='http://schemas.officeatwork.com/CustomXMLPart'" w:xpath="/ns:officeatwork/ns:DocumentType" w:storeItemID="{CA574664-57D9-4A84-A7EF-1EBE85C5107E}"/>
              <w:text w:multiLine="1"/>
            </w:sdtPr>
            <w:sdtEndPr/>
            <w:sdtContent>
              <w:r w:rsidR="003C72D5">
                <w:t>Entwurf «Stadt-/Gemeinderatsbeschluss</w:t>
              </w:r>
            </w:sdtContent>
          </w:sdt>
          <w:r w:rsidR="003C72D5">
            <w:t>»</w:t>
          </w:r>
        </w:p>
      </w:tc>
      <w:sdt>
        <w:sdtPr>
          <w:alias w:val="Absender Folgeseiten"/>
          <w:tag w:val="AbsenderFolgeseiten"/>
          <w:id w:val="453608208"/>
          <w:dataBinding w:prefixMappings="xmlns:ns='http://schemas.officeatwork.com/CustomXMLPart'" w:xpath="/ns:officeatwork/ns:AbsenderFolgeseiten" w:storeItemID="{CA574664-57D9-4A84-A7EF-1EBE85C5107E}"/>
          <w:text w:multiLine="1"/>
        </w:sdtPr>
        <w:sdtEndPr/>
        <w:sdtContent>
          <w:tc>
            <w:tcPr>
              <w:tcW w:w="4536" w:type="dxa"/>
            </w:tcPr>
            <w:p w14:paraId="17A69183" w14:textId="77777777" w:rsidR="003C72D5" w:rsidRDefault="003C72D5" w:rsidP="00120239">
              <w:pPr>
                <w:pStyle w:val="Informationen"/>
              </w:pPr>
            </w:p>
          </w:tc>
        </w:sdtContent>
      </w:sdt>
    </w:tr>
  </w:tbl>
  <w:p w14:paraId="7BE23C1D" w14:textId="77777777" w:rsidR="003C72D5" w:rsidRPr="00120239" w:rsidRDefault="003C72D5" w:rsidP="00120239">
    <w:pPr>
      <w:pStyle w:val="Informationen"/>
    </w:pPr>
    <w:r>
      <w:rPr>
        <w:noProof/>
      </w:rPr>
      <w:drawing>
        <wp:anchor distT="0" distB="0" distL="114300" distR="114300" simplePos="0" relativeHeight="251659264" behindDoc="1" locked="1" layoutInCell="1" hidden="1" allowOverlap="1" wp14:anchorId="0FC71731" wp14:editId="63D15C29">
          <wp:simplePos x="0" y="0"/>
          <wp:positionH relativeFrom="column">
            <wp:posOffset>985520</wp:posOffset>
          </wp:positionH>
          <wp:positionV relativeFrom="paragraph">
            <wp:posOffset>667385</wp:posOffset>
          </wp:positionV>
          <wp:extent cx="4048125" cy="1333500"/>
          <wp:effectExtent l="0" t="0" r="9525" b="0"/>
          <wp:wrapNone/>
          <wp:docPr id="4" name="81092e78-5e11-4ffb-acbf-5344_1" hidden="1"/>
          <wp:cNvGraphicFramePr/>
          <a:graphic xmlns:a="http://schemas.openxmlformats.org/drawingml/2006/main">
            <a:graphicData uri="http://schemas.openxmlformats.org/drawingml/2006/picture">
              <pic:pic xmlns:pic="http://schemas.openxmlformats.org/drawingml/2006/picture">
                <pic:nvPicPr>
                  <pic:cNvPr id="1186570173" name="81092e78-5e11-4ffb-acbf-5344_1" hidden="1"/>
                  <pic:cNvPicPr/>
                </pic:nvPicPr>
                <pic:blipFill>
                  <a:blip r:embed="rId1">
                    <a:extLst>
                      <a:ext uri="{28A0092B-C50C-407E-A947-70E740481C1C}">
                        <a14:useLocalDpi xmlns:a14="http://schemas.microsoft.com/office/drawing/2010/main" val="0"/>
                      </a:ext>
                    </a:extLst>
                  </a:blip>
                  <a:stretch>
                    <a:fillRect/>
                  </a:stretch>
                </pic:blipFill>
                <pic:spPr>
                  <a:xfrm>
                    <a:off x="0" y="0"/>
                    <a:ext cx="4048125" cy="133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43AB"/>
    <w:multiLevelType w:val="hybridMultilevel"/>
    <w:tmpl w:val="DA322B72"/>
    <w:lvl w:ilvl="0" w:tplc="5F9EB7C0">
      <w:start w:val="1"/>
      <w:numFmt w:val="bullet"/>
      <w:pStyle w:val="BetreffUntertitel"/>
      <w:lvlText w:val="–"/>
      <w:lvlJc w:val="left"/>
      <w:pPr>
        <w:ind w:left="360" w:hanging="360"/>
      </w:pPr>
      <w:rPr>
        <w:rFonts w:ascii="Arial Black" w:hAnsi="Arial Black"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4BE608F"/>
    <w:multiLevelType w:val="multilevel"/>
    <w:tmpl w:val="5B0C33D8"/>
    <w:lvl w:ilvl="0">
      <w:start w:val="1"/>
      <w:numFmt w:val="decimal"/>
      <w:pStyle w:val="Aufzhlungszeichen"/>
      <w:lvlText w:val="%1."/>
      <w:lvlJc w:val="left"/>
      <w:pPr>
        <w:ind w:left="360" w:hanging="360"/>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1225"/>
        </w:tabs>
        <w:ind w:left="1225" w:hanging="505"/>
      </w:pPr>
      <w:rPr>
        <w:rFonts w:hint="default"/>
      </w:rPr>
    </w:lvl>
    <w:lvl w:ilvl="3">
      <w:start w:val="1"/>
      <w:numFmt w:val="decimal"/>
      <w:lvlText w:val="%1%2.%3.%4"/>
      <w:lvlJc w:val="left"/>
      <w:pPr>
        <w:tabs>
          <w:tab w:val="num" w:pos="1729"/>
        </w:tabs>
        <w:ind w:left="1729" w:hanging="652"/>
      </w:pPr>
      <w:rPr>
        <w:rFonts w:hint="default"/>
      </w:rPr>
    </w:lvl>
    <w:lvl w:ilvl="4">
      <w:start w:val="1"/>
      <w:numFmt w:val="decimal"/>
      <w:lvlText w:val="%1%2.%3.%4.%5"/>
      <w:lvlJc w:val="left"/>
      <w:pPr>
        <w:tabs>
          <w:tab w:val="num" w:pos="2234"/>
        </w:tabs>
        <w:ind w:left="2234" w:hanging="794"/>
      </w:pPr>
      <w:rPr>
        <w:rFonts w:hint="default"/>
      </w:rPr>
    </w:lvl>
    <w:lvl w:ilvl="5">
      <w:start w:val="1"/>
      <w:numFmt w:val="decimal"/>
      <w:lvlText w:val="%1%2.%3.%4.%5.%6"/>
      <w:lvlJc w:val="left"/>
      <w:pPr>
        <w:tabs>
          <w:tab w:val="num" w:pos="1508"/>
        </w:tabs>
        <w:ind w:left="1508" w:hanging="1151"/>
      </w:pPr>
      <w:rPr>
        <w:rFonts w:hint="default"/>
      </w:rPr>
    </w:lvl>
    <w:lvl w:ilvl="6">
      <w:start w:val="1"/>
      <w:numFmt w:val="decimal"/>
      <w:lvlText w:val="%1%2.%3.%4.%5.%6.%7"/>
      <w:lvlJc w:val="left"/>
      <w:pPr>
        <w:tabs>
          <w:tab w:val="num" w:pos="1655"/>
        </w:tabs>
        <w:ind w:left="1655" w:hanging="1298"/>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39"/>
        </w:tabs>
        <w:ind w:left="1939" w:hanging="1582"/>
      </w:pPr>
      <w:rPr>
        <w:rFonts w:hint="default"/>
      </w:rPr>
    </w:lvl>
  </w:abstractNum>
  <w:abstractNum w:abstractNumId="2" w15:restartNumberingAfterBreak="0">
    <w:nsid w:val="210E40C6"/>
    <w:multiLevelType w:val="multilevel"/>
    <w:tmpl w:val="77963EDE"/>
    <w:lvl w:ilvl="0">
      <w:start w:val="1"/>
      <w:numFmt w:val="ordinal"/>
      <w:lvlText w:val="%1"/>
      <w:lvlJc w:val="left"/>
      <w:pPr>
        <w:tabs>
          <w:tab w:val="num" w:pos="720"/>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1225"/>
        </w:tabs>
        <w:ind w:left="1225" w:hanging="505"/>
      </w:pPr>
      <w:rPr>
        <w:rFonts w:hint="default"/>
      </w:rPr>
    </w:lvl>
    <w:lvl w:ilvl="3">
      <w:start w:val="1"/>
      <w:numFmt w:val="decimal"/>
      <w:lvlText w:val="%1%2.%3.%4"/>
      <w:lvlJc w:val="left"/>
      <w:pPr>
        <w:tabs>
          <w:tab w:val="num" w:pos="1729"/>
        </w:tabs>
        <w:ind w:left="1729" w:hanging="652"/>
      </w:pPr>
      <w:rPr>
        <w:rFonts w:hint="default"/>
      </w:rPr>
    </w:lvl>
    <w:lvl w:ilvl="4">
      <w:start w:val="1"/>
      <w:numFmt w:val="decimal"/>
      <w:lvlText w:val="%1%2.%3.%4.%5"/>
      <w:lvlJc w:val="left"/>
      <w:pPr>
        <w:tabs>
          <w:tab w:val="num" w:pos="2234"/>
        </w:tabs>
        <w:ind w:left="2234" w:hanging="794"/>
      </w:pPr>
      <w:rPr>
        <w:rFonts w:hint="default"/>
      </w:rPr>
    </w:lvl>
    <w:lvl w:ilvl="5">
      <w:start w:val="1"/>
      <w:numFmt w:val="decimal"/>
      <w:lvlText w:val="%1%2.%3.%4.%5.%6"/>
      <w:lvlJc w:val="left"/>
      <w:pPr>
        <w:tabs>
          <w:tab w:val="num" w:pos="1508"/>
        </w:tabs>
        <w:ind w:left="1508" w:hanging="1151"/>
      </w:pPr>
      <w:rPr>
        <w:rFonts w:hint="default"/>
      </w:rPr>
    </w:lvl>
    <w:lvl w:ilvl="6">
      <w:start w:val="1"/>
      <w:numFmt w:val="decimal"/>
      <w:lvlText w:val="%1%2.%3.%4.%5.%6.%7"/>
      <w:lvlJc w:val="left"/>
      <w:pPr>
        <w:tabs>
          <w:tab w:val="num" w:pos="1655"/>
        </w:tabs>
        <w:ind w:left="1655" w:hanging="1298"/>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39"/>
        </w:tabs>
        <w:ind w:left="1939" w:hanging="1582"/>
      </w:pPr>
      <w:rPr>
        <w:rFonts w:hint="default"/>
      </w:rPr>
    </w:lvl>
  </w:abstractNum>
  <w:abstractNum w:abstractNumId="3" w15:restartNumberingAfterBreak="0">
    <w:nsid w:val="4F7B57CE"/>
    <w:multiLevelType w:val="hybridMultilevel"/>
    <w:tmpl w:val="72BC3474"/>
    <w:lvl w:ilvl="0" w:tplc="D4E2885E">
      <w:start w:val="1"/>
      <w:numFmt w:val="decimal"/>
      <w:pStyle w:val="AuflistungNummern"/>
      <w:lvlText w:val="%1."/>
      <w:lvlJc w:val="left"/>
      <w:pPr>
        <w:ind w:left="360" w:hanging="360"/>
      </w:pPr>
      <w:rPr>
        <w:color w:val="auto"/>
      </w:rPr>
    </w:lvl>
    <w:lvl w:ilvl="1" w:tplc="1AD22EE0">
      <w:start w:val="1"/>
      <w:numFmt w:val="lowerLetter"/>
      <w:lvlText w:val="%2."/>
      <w:lvlJc w:val="left"/>
      <w:pPr>
        <w:ind w:left="1440" w:hanging="360"/>
      </w:pPr>
    </w:lvl>
    <w:lvl w:ilvl="2" w:tplc="D5E43EDE" w:tentative="1">
      <w:start w:val="1"/>
      <w:numFmt w:val="lowerRoman"/>
      <w:lvlText w:val="%3."/>
      <w:lvlJc w:val="right"/>
      <w:pPr>
        <w:ind w:left="2160" w:hanging="180"/>
      </w:pPr>
    </w:lvl>
    <w:lvl w:ilvl="3" w:tplc="1AB4D44A" w:tentative="1">
      <w:start w:val="1"/>
      <w:numFmt w:val="decimal"/>
      <w:lvlText w:val="%4."/>
      <w:lvlJc w:val="left"/>
      <w:pPr>
        <w:ind w:left="2880" w:hanging="360"/>
      </w:pPr>
    </w:lvl>
    <w:lvl w:ilvl="4" w:tplc="9AE8580A" w:tentative="1">
      <w:start w:val="1"/>
      <w:numFmt w:val="lowerLetter"/>
      <w:lvlText w:val="%5."/>
      <w:lvlJc w:val="left"/>
      <w:pPr>
        <w:ind w:left="3600" w:hanging="360"/>
      </w:pPr>
    </w:lvl>
    <w:lvl w:ilvl="5" w:tplc="ECE497CC" w:tentative="1">
      <w:start w:val="1"/>
      <w:numFmt w:val="lowerRoman"/>
      <w:lvlText w:val="%6."/>
      <w:lvlJc w:val="right"/>
      <w:pPr>
        <w:ind w:left="4320" w:hanging="180"/>
      </w:pPr>
    </w:lvl>
    <w:lvl w:ilvl="6" w:tplc="D548B82E" w:tentative="1">
      <w:start w:val="1"/>
      <w:numFmt w:val="decimal"/>
      <w:lvlText w:val="%7."/>
      <w:lvlJc w:val="left"/>
      <w:pPr>
        <w:ind w:left="5040" w:hanging="360"/>
      </w:pPr>
    </w:lvl>
    <w:lvl w:ilvl="7" w:tplc="52F8827A" w:tentative="1">
      <w:start w:val="1"/>
      <w:numFmt w:val="lowerLetter"/>
      <w:lvlText w:val="%8."/>
      <w:lvlJc w:val="left"/>
      <w:pPr>
        <w:ind w:left="5760" w:hanging="360"/>
      </w:pPr>
    </w:lvl>
    <w:lvl w:ilvl="8" w:tplc="1E30702C" w:tentative="1">
      <w:start w:val="1"/>
      <w:numFmt w:val="lowerRoman"/>
      <w:lvlText w:val="%9."/>
      <w:lvlJc w:val="right"/>
      <w:pPr>
        <w:ind w:left="6480" w:hanging="180"/>
      </w:pPr>
    </w:lvl>
  </w:abstractNum>
  <w:abstractNum w:abstractNumId="4" w15:restartNumberingAfterBreak="0">
    <w:nsid w:val="76DE7A79"/>
    <w:multiLevelType w:val="multilevel"/>
    <w:tmpl w:val="74DC79CA"/>
    <w:lvl w:ilvl="0">
      <w:start w:val="1"/>
      <w:numFmt w:val="bullet"/>
      <w:pStyle w:val="Auflistung1Ebene"/>
      <w:lvlText w:val=""/>
      <w:lvlJc w:val="left"/>
      <w:pPr>
        <w:ind w:left="357" w:hanging="357"/>
      </w:pPr>
      <w:rPr>
        <w:rFonts w:ascii="Wingdings" w:hAnsi="Wingdings" w:hint="default"/>
      </w:rPr>
    </w:lvl>
    <w:lvl w:ilvl="1">
      <w:start w:val="1"/>
      <w:numFmt w:val="bullet"/>
      <w:pStyle w:val="Auflistung2Ebene"/>
      <w:lvlText w:val="­"/>
      <w:lvlJc w:val="left"/>
      <w:pPr>
        <w:ind w:left="714" w:hanging="357"/>
      </w:pPr>
      <w:rPr>
        <w:rFonts w:ascii="Frutiger" w:hAnsi="Frutiger"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num w:numId="1" w16cid:durableId="258567028">
    <w:abstractNumId w:val="4"/>
  </w:num>
  <w:num w:numId="2" w16cid:durableId="1365012948">
    <w:abstractNumId w:val="0"/>
  </w:num>
  <w:num w:numId="3" w16cid:durableId="1186361165">
    <w:abstractNumId w:val="2"/>
  </w:num>
  <w:num w:numId="4" w16cid:durableId="2129815922">
    <w:abstractNumId w:val="1"/>
  </w:num>
  <w:num w:numId="5" w16cid:durableId="324863859">
    <w:abstractNumId w:val="3"/>
  </w:num>
  <w:num w:numId="6" w16cid:durableId="19628819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940639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D5"/>
    <w:rsid w:val="000951D3"/>
    <w:rsid w:val="003C72D5"/>
    <w:rsid w:val="004A339B"/>
    <w:rsid w:val="004D68CF"/>
    <w:rsid w:val="00867DDF"/>
    <w:rsid w:val="009757F4"/>
    <w:rsid w:val="00C53935"/>
    <w:rsid w:val="00EA6386"/>
    <w:rsid w:val="00EF33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C558"/>
  <w15:chartTrackingRefBased/>
  <w15:docId w15:val="{B1FC6751-6461-4C3A-9839-C86591E1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72D5"/>
    <w:pPr>
      <w:adjustRightInd w:val="0"/>
      <w:snapToGrid w:val="0"/>
      <w:spacing w:after="0" w:line="270" w:lineRule="atLeast"/>
    </w:pPr>
    <w:rPr>
      <w:rFonts w:ascii="Arial" w:eastAsia="Times New Roman" w:hAnsi="Arial" w:cs="Times New Roman"/>
      <w:sz w:val="20"/>
      <w:szCs w:val="24"/>
      <w:lang w:eastAsia="de-CH"/>
    </w:rPr>
  </w:style>
  <w:style w:type="paragraph" w:styleId="berschrift1">
    <w:name w:val="heading 1"/>
    <w:basedOn w:val="Standard"/>
    <w:next w:val="Standard"/>
    <w:link w:val="berschrift1Zchn"/>
    <w:uiPriority w:val="9"/>
    <w:qFormat/>
    <w:rsid w:val="003C7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C7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C72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C72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C72D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C72D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C72D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C72D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C72D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C72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C72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C72D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C72D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C72D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3C72D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C72D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C72D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C72D5"/>
    <w:rPr>
      <w:rFonts w:asciiTheme="minorHAnsi" w:eastAsiaTheme="majorEastAsia" w:hAnsiTheme="minorHAnsi" w:cstheme="majorBidi"/>
      <w:color w:val="272727" w:themeColor="text1" w:themeTint="D8"/>
    </w:rPr>
  </w:style>
  <w:style w:type="paragraph" w:styleId="Titel">
    <w:name w:val="Title"/>
    <w:basedOn w:val="Standard"/>
    <w:next w:val="Standard"/>
    <w:link w:val="TitelZchn"/>
    <w:qFormat/>
    <w:rsid w:val="003C7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3C72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C72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C72D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C72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C72D5"/>
    <w:rPr>
      <w:i/>
      <w:iCs/>
      <w:color w:val="404040" w:themeColor="text1" w:themeTint="BF"/>
    </w:rPr>
  </w:style>
  <w:style w:type="paragraph" w:styleId="Listenabsatz">
    <w:name w:val="List Paragraph"/>
    <w:basedOn w:val="Standard"/>
    <w:uiPriority w:val="34"/>
    <w:qFormat/>
    <w:rsid w:val="003C72D5"/>
    <w:pPr>
      <w:ind w:left="720"/>
      <w:contextualSpacing/>
    </w:pPr>
  </w:style>
  <w:style w:type="character" w:styleId="IntensiveHervorhebung">
    <w:name w:val="Intense Emphasis"/>
    <w:basedOn w:val="Absatz-Standardschriftart"/>
    <w:uiPriority w:val="21"/>
    <w:qFormat/>
    <w:rsid w:val="003C72D5"/>
    <w:rPr>
      <w:i/>
      <w:iCs/>
      <w:color w:val="0F4761" w:themeColor="accent1" w:themeShade="BF"/>
    </w:rPr>
  </w:style>
  <w:style w:type="paragraph" w:styleId="IntensivesZitat">
    <w:name w:val="Intense Quote"/>
    <w:basedOn w:val="Standard"/>
    <w:next w:val="Standard"/>
    <w:link w:val="IntensivesZitatZchn"/>
    <w:uiPriority w:val="30"/>
    <w:qFormat/>
    <w:rsid w:val="003C7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C72D5"/>
    <w:rPr>
      <w:i/>
      <w:iCs/>
      <w:color w:val="0F4761" w:themeColor="accent1" w:themeShade="BF"/>
    </w:rPr>
  </w:style>
  <w:style w:type="character" w:styleId="IntensiverVerweis">
    <w:name w:val="Intense Reference"/>
    <w:basedOn w:val="Absatz-Standardschriftart"/>
    <w:uiPriority w:val="32"/>
    <w:qFormat/>
    <w:rsid w:val="003C72D5"/>
    <w:rPr>
      <w:b/>
      <w:bCs/>
      <w:smallCaps/>
      <w:color w:val="0F4761" w:themeColor="accent1" w:themeShade="BF"/>
      <w:spacing w:val="5"/>
    </w:rPr>
  </w:style>
  <w:style w:type="paragraph" w:customStyle="1" w:styleId="Auflistung1Ebene">
    <w:name w:val="Auflistung 1. Ebene"/>
    <w:basedOn w:val="Standard"/>
    <w:qFormat/>
    <w:rsid w:val="003C72D5"/>
    <w:pPr>
      <w:numPr>
        <w:numId w:val="1"/>
      </w:numPr>
      <w:ind w:left="0" w:firstLine="0"/>
    </w:pPr>
  </w:style>
  <w:style w:type="paragraph" w:customStyle="1" w:styleId="Auflistung2Ebene">
    <w:name w:val="Auflistung 2. Ebene"/>
    <w:basedOn w:val="Standard"/>
    <w:uiPriority w:val="99"/>
    <w:qFormat/>
    <w:rsid w:val="003C72D5"/>
    <w:pPr>
      <w:numPr>
        <w:ilvl w:val="1"/>
        <w:numId w:val="1"/>
      </w:numPr>
      <w:ind w:left="0" w:firstLine="0"/>
    </w:pPr>
  </w:style>
  <w:style w:type="table" w:styleId="Tabellenraster">
    <w:name w:val="Table Grid"/>
    <w:basedOn w:val="NormaleTabelle"/>
    <w:rsid w:val="003C72D5"/>
    <w:pPr>
      <w:spacing w:after="0" w:line="240" w:lineRule="auto"/>
    </w:pPr>
    <w:rPr>
      <w:rFonts w:ascii="Arial" w:hAnsi="Arial"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t">
    <w:name w:val="1pt"/>
    <w:basedOn w:val="Standard"/>
    <w:rsid w:val="003C72D5"/>
    <w:pPr>
      <w:keepNext/>
      <w:keepLines/>
      <w:spacing w:line="20" w:lineRule="exact"/>
    </w:pPr>
    <w:rPr>
      <w:color w:val="FFFFFF" w:themeColor="background1"/>
      <w:sz w:val="2"/>
      <w:szCs w:val="22"/>
      <w:lang w:eastAsia="de-DE"/>
    </w:rPr>
  </w:style>
  <w:style w:type="paragraph" w:customStyle="1" w:styleId="BetreffUntertitel">
    <w:name w:val="Betreff_Untertitel"/>
    <w:basedOn w:val="Untertitel"/>
    <w:rsid w:val="003C72D5"/>
    <w:pPr>
      <w:keepNext/>
      <w:keepLines/>
      <w:numPr>
        <w:ilvl w:val="0"/>
        <w:numId w:val="2"/>
      </w:numPr>
      <w:ind w:left="0" w:firstLine="0"/>
    </w:pPr>
    <w:rPr>
      <w:rFonts w:ascii="Arial" w:eastAsia="Times New Roman" w:hAnsi="Arial" w:cs="Arial"/>
      <w:color w:val="auto"/>
      <w:spacing w:val="0"/>
      <w:sz w:val="20"/>
      <w:szCs w:val="24"/>
    </w:rPr>
  </w:style>
  <w:style w:type="paragraph" w:customStyle="1" w:styleId="Informationen">
    <w:name w:val="Informationen"/>
    <w:basedOn w:val="Standard"/>
    <w:rsid w:val="003C72D5"/>
    <w:pPr>
      <w:keepNext/>
      <w:keepLines/>
      <w:spacing w:line="200" w:lineRule="atLeast"/>
    </w:pPr>
    <w:rPr>
      <w:sz w:val="16"/>
    </w:rPr>
  </w:style>
  <w:style w:type="paragraph" w:styleId="Aufzhlungszeichen">
    <w:name w:val="List Bullet"/>
    <w:basedOn w:val="Standard"/>
    <w:qFormat/>
    <w:rsid w:val="003C72D5"/>
    <w:pPr>
      <w:numPr>
        <w:numId w:val="4"/>
      </w:numPr>
      <w:adjustRightInd/>
      <w:snapToGrid/>
      <w:ind w:left="0" w:firstLine="0"/>
    </w:pPr>
    <w:rPr>
      <w:szCs w:val="20"/>
    </w:rPr>
  </w:style>
  <w:style w:type="paragraph" w:customStyle="1" w:styleId="AuflistungNummern">
    <w:name w:val="Auflistung Nummern"/>
    <w:basedOn w:val="Aufzhlungszeichen"/>
    <w:qFormat/>
    <w:rsid w:val="003C72D5"/>
    <w:pPr>
      <w:numPr>
        <w:numId w:val="5"/>
      </w:numPr>
      <w:ind w:left="0" w:firstLine="0"/>
    </w:pPr>
  </w:style>
  <w:style w:type="paragraph" w:customStyle="1" w:styleId="Auflistung1EbenenachNummerierung">
    <w:name w:val="Auflistung 1. Ebene nach Nummerierung"/>
    <w:basedOn w:val="Auflistung1Ebene"/>
    <w:qFormat/>
    <w:rsid w:val="003C72D5"/>
    <w:pPr>
      <w:numPr>
        <w:numId w:val="0"/>
      </w:numPr>
      <w:ind w:left="527"/>
    </w:pPr>
  </w:style>
  <w:style w:type="paragraph" w:customStyle="1" w:styleId="Text">
    <w:name w:val="Text"/>
    <w:basedOn w:val="Standard"/>
    <w:rsid w:val="003C72D5"/>
    <w:pPr>
      <w:adjustRightInd/>
      <w:snapToGrid/>
      <w:spacing w:line="300" w:lineRule="atLeas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esch-feuko.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E5A10FF27F4E95AD6F888C34B95C00"/>
        <w:category>
          <w:name w:val="Allgemein"/>
          <w:gallery w:val="placeholder"/>
        </w:category>
        <w:types>
          <w:type w:val="bbPlcHdr"/>
        </w:types>
        <w:behaviors>
          <w:behavior w:val="content"/>
        </w:behaviors>
        <w:guid w:val="{6893E2EA-D786-4AAE-A7D1-A6209ADC1884}"/>
      </w:docPartPr>
      <w:docPartBody>
        <w:p w:rsidR="005E2AED" w:rsidRDefault="00890560" w:rsidP="00890560">
          <w:pPr>
            <w:pStyle w:val="17E5A10FF27F4E95AD6F888C34B95C00"/>
          </w:pPr>
          <w:r w:rsidRPr="00866C4A">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w:altName w:val="Calibri"/>
    <w:charset w:val="00"/>
    <w:family w:val="auto"/>
    <w:pitch w:val="variable"/>
    <w:sig w:usb0="8000002F" w:usb1="0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60"/>
    <w:rsid w:val="004A339B"/>
    <w:rsid w:val="005E2AED"/>
    <w:rsid w:val="00867DDF"/>
    <w:rsid w:val="00890560"/>
    <w:rsid w:val="00D16E1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7E5A10FF27F4E95AD6F888C34B95C00">
    <w:name w:val="17E5A10FF27F4E95AD6F888C34B95C00"/>
    <w:rsid w:val="00890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8997</Characters>
  <Application>Microsoft Office Word</Application>
  <DocSecurity>0</DocSecurity>
  <Lines>74</Lines>
  <Paragraphs>20</Paragraphs>
  <ScaleCrop>false</ScaleCrop>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Gerig</dc:creator>
  <cp:keywords/>
  <dc:description/>
  <cp:lastModifiedBy>Samuel Gerig</cp:lastModifiedBy>
  <cp:revision>2</cp:revision>
  <dcterms:created xsi:type="dcterms:W3CDTF">2026-09-03T07:46:00Z</dcterms:created>
  <dcterms:modified xsi:type="dcterms:W3CDTF">2026-09-03T07:53:00Z</dcterms:modified>
</cp:coreProperties>
</file>